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Kingsoft Cloud Holdings Limited</w:t>
      </w:r>
    </w:p>
    <w:p>
      <w:pPr>
        <w:spacing w:after="0" w:line="4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Building D, Xiaomi Science and Technology Park, No. 33 Xierqi Middle Road,</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Haidian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100085, the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100" w:type="dxa"/>
            <w:vAlign w:val="bottom"/>
            <w:gridSpan w:val="3"/>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Announcement — (1) Revision of Annual Caps for Continuing Connected Transactions under the 2024 Xiaomi Framework Agreement;</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98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and (2) Revision of Continuing Connected Transactions under the 2025 Xiaomi Cooperation Framework Agreement</w:t>
            </w:r>
          </w:p>
        </w:tc>
        <w:tc>
          <w:tcPr>
            <w:tcW w:w="300" w:type="dxa"/>
            <w:vAlign w:val="bottom"/>
          </w:tcPr>
          <w:p>
            <w:pPr>
              <w:spacing w:after="0"/>
              <w:rPr>
                <w:sz w:val="17"/>
                <w:szCs w:val="17"/>
                <w:color w:val="auto"/>
              </w:rPr>
            </w:pPr>
          </w:p>
        </w:tc>
      </w:tr>
      <w:tr>
        <w:trPr>
          <w:trHeight w:val="696"/>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380" w:type="dxa"/>
            <w:vAlign w:val="bottom"/>
            <w:tcBorders>
              <w:top w:val="single" w:sz="8" w:color="0000EE"/>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Kingsoft Cloud Holdings Limited</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Yi Li</w:t>
            </w:r>
          </w:p>
        </w:tc>
      </w:tr>
      <w:tr>
        <w:trPr>
          <w:trHeight w:val="191"/>
        </w:trPr>
        <w:tc>
          <w:tcPr>
            <w:tcW w:w="35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Yi Li</w:t>
            </w:r>
          </w:p>
        </w:tc>
      </w:tr>
      <w:tr>
        <w:trPr>
          <w:trHeight w:val="234"/>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3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123190</wp:posOffset>
            </wp:positionV>
            <wp:extent cx="180848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848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Kingsoft Cloud Holdings Limited</w:t>
      </w:r>
    </w:p>
    <w:p>
      <w:pPr>
        <w:spacing w:after="0" w:line="34" w:lineRule="exact"/>
        <w:rPr>
          <w:sz w:val="20"/>
          <w:szCs w:val="20"/>
          <w:color w:val="auto"/>
        </w:rPr>
      </w:pPr>
    </w:p>
    <w:p>
      <w:pPr>
        <w:jc w:val="center"/>
        <w:ind w:right="-19"/>
        <w:spacing w:after="0" w:line="206" w:lineRule="exact"/>
        <w:rPr>
          <w:sz w:val="20"/>
          <w:szCs w:val="20"/>
          <w:color w:val="auto"/>
        </w:rPr>
      </w:pPr>
      <w:r>
        <w:rPr>
          <w:rFonts w:ascii="SimSun" w:cs="SimSun" w:eastAsia="SimSun" w:hAnsi="SimSun"/>
          <w:sz w:val="18"/>
          <w:szCs w:val="18"/>
          <w:color w:val="auto"/>
          <w:shd w:val="clear" w:color="auto" w:fill="231F20"/>
        </w:rPr>
        <w:t>金山云控股有限公司</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(Stock Code: 3896)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(Nasdaq Stock Ticker: KC)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   REVISION OF ANNUAL CAPS FOR CONTINUING CONNECTED TRANSACTIONS UNDER THE 2024 XIAOMI FRAMEWORK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AGREEMENT;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(2)   REVISION OF CONTINUING CONNECTED TRANSACTIONS UNDER THE 2025 XIAOMI COOPERATION FRAMEWORK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Independent Financial Adviser to the Independent Board Committee and the Independent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156845</wp:posOffset>
            </wp:positionV>
            <wp:extent cx="342900" cy="402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0" cy="402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SOMERLEY CAPITAL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491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9161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left="120" w:right="120"/>
        <w:spacing w:after="0" w:line="286" w:lineRule="auto"/>
        <w:rPr>
          <w:sz w:val="20"/>
          <w:szCs w:val="20"/>
          <w:color w:val="auto"/>
        </w:rPr>
      </w:pPr>
      <w:r>
        <w:rPr>
          <w:rFonts w:ascii="Times New Roman" w:cs="Times New Roman" w:eastAsia="Times New Roman" w:hAnsi="Times New Roman"/>
          <w:sz w:val="18"/>
          <w:szCs w:val="18"/>
          <w:b w:val="1"/>
          <w:bCs w:val="1"/>
          <w:color w:val="231F20"/>
        </w:rPr>
        <w:t>REVISION OF ANNUAL CAPS FOR CONTINUING CONNECTED TRANSACTIONS UNDER THE 2024 XIAOMI FRAMEWORK AGREEMENT</w:t>
      </w:r>
    </w:p>
    <w:p>
      <w:pPr>
        <w:spacing w:after="0" w:line="15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231F20"/>
        </w:rPr>
        <w:t>References are made to the announcements of the Company dated November 19, 2024 and December 31, 2024 and the circular dated November 29, 2024, in relation to, among other things, the 2024 Xiaomi Framework Agreement entered into between the Company and Xiaomi regarding, among other things, the provision of cloud services by the Group for a term of three years from January 1, 2025 to December 31, 2027.</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231F20"/>
        </w:rPr>
        <w:t>Due to the rapid business growth of the Group, including the business demand from customers including Xiaomi Corporation increasing more than previously expected, the Board has resolved to revise the annual caps for the provision of cloud services by the Group to the Xiaomi Corporation for the two years of 2026 and 2027, while the annual caps for the remaining transactions under the 2024 Xiaomi Framework Agreement will remain unchanged.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86" w:lineRule="auto"/>
        <w:rPr>
          <w:sz w:val="20"/>
          <w:szCs w:val="20"/>
          <w:color w:val="auto"/>
        </w:rPr>
      </w:pPr>
      <w:r>
        <w:rPr>
          <w:rFonts w:ascii="Times New Roman" w:cs="Times New Roman" w:eastAsia="Times New Roman" w:hAnsi="Times New Roman"/>
          <w:sz w:val="18"/>
          <w:szCs w:val="18"/>
          <w:b w:val="1"/>
          <w:bCs w:val="1"/>
          <w:color w:val="231F20"/>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425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4255770"/>
                    </a:xfrm>
                    <a:prstGeom prst="rect">
                      <a:avLst/>
                    </a:prstGeom>
                    <a:noFill/>
                  </pic:spPr>
                </pic:pic>
              </a:graphicData>
            </a:graphic>
          </wp:anchor>
        </w:drawing>
        <w:t>REVISION OF CONTINUING CONNECTED TRANSACTIONS UNDER THE 2025 XIAOMI COOPERATION FRAMEWORK AGREEMENT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References are made to the announcement of the Company dated July 29, 2025, pursuant to which the Company and Xiaomi entered into the 2025 Xiaomi Cooperation Framework Agreement, under which (1) the Company has agreed to purchase and Xiaomi has agreed to provide IDC-related services for an initial term of three years commencing from July 29, 2025; and (2) the Company has agreed to purchase and Xiaomi has agreed to sell hardware equipment for an initial term of one year commencing from July 29, 2025.</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As procurement demands have been increasing due to the rapid business growth of the Group, the Board has resolved to revise (1) the annual caps for the procurement of IDC services under the 2025 Xiaomi Cooperation Framework Agreement for the period from July 29, 2025 to July 28, 2028; and (2) the annual cap for the procurement of hardware equipment for the period from July 29, 2025 to July 28, 2026.</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The Board is pleased to announce that on April 23, 2026 (after trading hours), the Company entered into a supplemental agreement with Xiaomi to amend the 2025 Xiaomi Cooperation Framework Agreement, pursuant to which, (1) the Company has agreed to purchase and Xiaomi has agreed to sell hardware equipment, with the term extended from July 29, 2025 to December 31, 2027; and (2) the Company has agreed to purchase and Xiaomi has agreed to provide API-related services for an initial term from April 23, 2026 to December 31,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IMPLICATIONS UNDER THE HONG KONG LISTING RULES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As at the date of this announcement, Xiaomi directly and indirectly holds a total of approximately 10.29% of the Shares, and is therefore a connected person of the Company (as defined in the Hong Kong Listing Rules). Accordingly, pursuant to Chapter 14A of the Hong Kong Listing Rules, the entering into of the 2024 Xiaomi Framework Agreement and the 2025 Xiaomi Cooperation Framework Agreement and their respective contemplated transactions constitute continuing connected transactions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2024 Xiaomi Framework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As one or more of the applicable percentage ratios in respect of the proposed revised annual caps for the two years of 2026 and 2027 for the provision of cloud services contemplated under the 2024 Xiaomi Framework Agreement are more than 5%, the provision of cloud services contemplated under the 2024 Xiaomi Framework Agreement (including the proposed revised annual caps) is subject to the reporting, annual review, announcement and Independent Shareholders’ approval requirements under Chapter 14A of the Hong Kong Listing Rules.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1008" w:right="439" w:bottom="1440" w:gutter="0" w:footer="0" w:header="0"/>
        </w:sectPr>
      </w:pPr>
    </w:p>
    <w:bookmarkStart w:id="5" w:name="page6"/>
    <w:bookmarkEnd w:id="5"/>
    <w:p>
      <w:pPr>
        <w:ind w:left="112"/>
        <w:spacing w:after="0"/>
        <w:rPr>
          <w:sz w:val="20"/>
          <w:szCs w:val="20"/>
          <w:color w:val="auto"/>
        </w:rPr>
      </w:pPr>
      <w:r>
        <w:rPr>
          <w:rFonts w:ascii="Times New Roman" w:cs="Times New Roman" w:eastAsia="Times New Roman" w:hAnsi="Times New Roman"/>
          <w:sz w:val="18"/>
          <w:szCs w:val="18"/>
          <w:b w:val="1"/>
          <w:bCs w:val="1"/>
          <w:i w:val="1"/>
          <w:iCs w:val="1"/>
          <w:color w:val="231F20"/>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2609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609850"/>
                    </a:xfrm>
                    <a:prstGeom prst="rect">
                      <a:avLst/>
                    </a:prstGeom>
                    <a:noFill/>
                  </pic:spPr>
                </pic:pic>
              </a:graphicData>
            </a:graphic>
          </wp:anchor>
        </w:drawing>
        <w:t>2025 Xiaomi Cooperation Framework Agreement</w:t>
      </w:r>
    </w:p>
    <w:p>
      <w:pPr>
        <w:spacing w:after="0" w:line="229" w:lineRule="exact"/>
        <w:rPr>
          <w:sz w:val="20"/>
          <w:szCs w:val="20"/>
          <w:color w:val="auto"/>
        </w:rPr>
      </w:pPr>
    </w:p>
    <w:p>
      <w:pPr>
        <w:jc w:val="both"/>
        <w:ind w:left="112" w:right="100"/>
        <w:spacing w:after="0" w:line="258" w:lineRule="auto"/>
        <w:rPr>
          <w:sz w:val="20"/>
          <w:szCs w:val="20"/>
          <w:color w:val="auto"/>
        </w:rPr>
      </w:pPr>
      <w:r>
        <w:rPr>
          <w:rFonts w:ascii="Times New Roman" w:cs="Times New Roman" w:eastAsia="Times New Roman" w:hAnsi="Times New Roman"/>
          <w:sz w:val="18"/>
          <w:szCs w:val="18"/>
          <w:color w:val="231F20"/>
        </w:rPr>
        <w:t>As one or more of the applicable percentage ratios in respect of the proposed revised annual caps and/or proposed annual caps for the two years of 2026 and 2027 for the procurement of hardware equipment contemplated under the 2025 Xiaomi Cooperation Framework Agreement exceed 5%, the procurement of hardware equipment (including the proposed annual caps) contemplated under the 2025 Xiaomi Cooperation Framework Agreement is subject to the reporting, annual review, announcement and Independent Shareholders’ approval requirements under Chapter 14A of the Hong Kong Listing Rules.</w:t>
      </w:r>
    </w:p>
    <w:p>
      <w:pPr>
        <w:spacing w:after="0" w:line="183" w:lineRule="exact"/>
        <w:rPr>
          <w:sz w:val="20"/>
          <w:szCs w:val="20"/>
          <w:color w:val="auto"/>
        </w:rPr>
      </w:pPr>
    </w:p>
    <w:p>
      <w:pPr>
        <w:jc w:val="both"/>
        <w:ind w:left="112" w:right="100"/>
        <w:spacing w:after="0" w:line="256" w:lineRule="auto"/>
        <w:rPr>
          <w:sz w:val="20"/>
          <w:szCs w:val="20"/>
          <w:color w:val="auto"/>
        </w:rPr>
      </w:pPr>
      <w:r>
        <w:rPr>
          <w:rFonts w:ascii="Times New Roman" w:cs="Times New Roman" w:eastAsia="Times New Roman" w:hAnsi="Times New Roman"/>
          <w:sz w:val="18"/>
          <w:szCs w:val="18"/>
          <w:color w:val="231F20"/>
        </w:rPr>
        <w:t>As one or more of the applicable percentage ratios in respect of (i) the proposed revised annual caps for the two years of 2026 and 2027 for the procurement of IDC services; and (ii) the proposed annual caps for procurement of API-related services for the period from April 23, 2026 to December 31, 2027 under the 2025 Xiaomi Cooperation Framework Agreement are higher than 0.1% but do not exceed 5%, such transactions (including the proposed revised annual caps) contemplated under the 2025 Xiaomi Cooperation Framework Agreement are subject to the reporting, announcement and annual review requirements but are exempt from the Independent Shareholders’ approval requirement under Chapter 14A of the Hong Kong Listing Rules.</w:t>
      </w:r>
    </w:p>
    <w:p>
      <w:pPr>
        <w:spacing w:after="0" w:line="187" w:lineRule="exact"/>
        <w:rPr>
          <w:sz w:val="20"/>
          <w:szCs w:val="20"/>
          <w:color w:val="auto"/>
        </w:rPr>
      </w:pPr>
    </w:p>
    <w:p>
      <w:pPr>
        <w:jc w:val="both"/>
        <w:ind w:left="112" w:right="120"/>
        <w:spacing w:after="0" w:line="266" w:lineRule="auto"/>
        <w:rPr>
          <w:sz w:val="20"/>
          <w:szCs w:val="20"/>
          <w:color w:val="auto"/>
        </w:rPr>
      </w:pPr>
      <w:r>
        <w:rPr>
          <w:rFonts w:ascii="Times New Roman" w:cs="Times New Roman" w:eastAsia="Times New Roman" w:hAnsi="Times New Roman"/>
          <w:sz w:val="18"/>
          <w:szCs w:val="18"/>
          <w:color w:val="231F20"/>
        </w:rPr>
        <w:t>From January 1, 2026 to the date of this announcement, the actual transaction amounts for the relevant transactions (namely (1) the provision of cloud services under the 2024 Xiaomi Framework Agreement; and (2) the (i) procurement of IDC services and (ii) procurement of hardware equipment under the 2025 Xiaomi Cooperation Framework Agreement) have not exceeded their respective original annual caps for the year 2026.</w:t>
      </w:r>
    </w:p>
    <w:p>
      <w:pPr>
        <w:spacing w:after="0" w:line="280" w:lineRule="exact"/>
        <w:rPr>
          <w:sz w:val="20"/>
          <w:szCs w:val="20"/>
          <w:color w:val="auto"/>
        </w:rPr>
      </w:pPr>
    </w:p>
    <w:p>
      <w:pPr>
        <w:ind w:left="632" w:hanging="632"/>
        <w:spacing w:after="0"/>
        <w:tabs>
          <w:tab w:leader="none" w:pos="632" w:val="left"/>
        </w:tabs>
        <w:numPr>
          <w:ilvl w:val="0"/>
          <w:numId w:val="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INTRODUCTION</w:t>
      </w:r>
    </w:p>
    <w:p>
      <w:pPr>
        <w:spacing w:after="0" w:line="225" w:lineRule="exact"/>
        <w:rPr>
          <w:rFonts w:ascii="Times New Roman" w:cs="Times New Roman" w:eastAsia="Times New Roman" w:hAnsi="Times New Roman"/>
          <w:sz w:val="18"/>
          <w:szCs w:val="18"/>
          <w:b w:val="1"/>
          <w:bCs w:val="1"/>
          <w:color w:val="231F20"/>
        </w:rPr>
      </w:pPr>
    </w:p>
    <w:p>
      <w:pPr>
        <w:ind w:left="652"/>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2024 Xiaomi Framework Agreement</w:t>
      </w:r>
    </w:p>
    <w:p>
      <w:pPr>
        <w:spacing w:after="0" w:line="229" w:lineRule="exact"/>
        <w:rPr>
          <w:rFonts w:ascii="Times New Roman" w:cs="Times New Roman" w:eastAsia="Times New Roman" w:hAnsi="Times New Roman"/>
          <w:sz w:val="18"/>
          <w:szCs w:val="18"/>
          <w:b w:val="1"/>
          <w:bCs w:val="1"/>
          <w:color w:val="231F20"/>
        </w:rPr>
      </w:pPr>
    </w:p>
    <w:p>
      <w:pPr>
        <w:jc w:val="both"/>
        <w:ind w:left="652"/>
        <w:spacing w:after="0" w:line="266"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References are made to the announcements of the Company dated November 19, 2024 and December 31, 2024 and the circular dated November 29, 2024, in relation to, among other things, the 2024 Xiaomi Framework Agreement entered into between the Company and Xiaomi regarding, among other things, the provision of cloud services by the Group for a term of three years from January 1, 2025 to December 31, 2027.</w:t>
      </w:r>
    </w:p>
    <w:p>
      <w:pPr>
        <w:spacing w:after="0" w:line="175" w:lineRule="exact"/>
        <w:rPr>
          <w:rFonts w:ascii="Times New Roman" w:cs="Times New Roman" w:eastAsia="Times New Roman" w:hAnsi="Times New Roman"/>
          <w:sz w:val="18"/>
          <w:szCs w:val="18"/>
          <w:b w:val="1"/>
          <w:bCs w:val="1"/>
          <w:color w:val="231F20"/>
        </w:rPr>
      </w:pPr>
    </w:p>
    <w:p>
      <w:pPr>
        <w:jc w:val="both"/>
        <w:ind w:left="652"/>
        <w:spacing w:after="0" w:line="261"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Due to the rapid business growth of the Group, including the business demand from customers including Xiaomi Corporation increasing more than previously expected, the Board has resolved to revise the annual caps for the provision of cloud services by the Group to the Xiaomi Corporation for the two years of 2026 and 2027, while the annual caps for the remaining transactions under the 2024 Xiaomi Framework Agreement will remain unchanged.</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008"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b w:val="1"/>
          <w:bCs w:val="1"/>
          <w:color w:val="231F20"/>
        </w:rPr>
        <w:t>2025 Xiaomi Cooperation Framework Agreement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231F20"/>
        </w:rPr>
        <w:t>References are made to the announcement of the Company dated July 29, 2025, pursuant to which the Company and Xiaomi entered into the 2025 Xiaomi Cooperation Framework Agreement, under which (1) the Company has agreed to purchase and Xiaomi has agreed to provide IDC-related services for an initial term of three years commencing from July 29, 2025; and (2) the Company has agreed to purchase and Xiaomi has agreed to sell hardware equipment for an initial term of one year commencing from July 29, 2025.</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231F20"/>
        </w:rPr>
        <w:t>As procurement demands have been increasing due to the rapid business growth of the Group, the Board has resolved to revise (1) the annual caps for the procurement of IDC services under the 2025 Xiaomi Cooperation Framework Agreement for the period from July 29, 2025 to July 28, 2028; and (2) the annual cap for the procurement of hardware equipment for the period from July 29, 2025 to July 28, 2026.</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231F20"/>
        </w:rPr>
        <w:t>The Board is pleased to announce that on April 23, 2026 (after trading hours), the Company entered into a supplemental agreement with Xiaomi to amend the 2025 Xiaomi Cooperation Framework Agreement, pursuant to which, (1) the Company has agreed to purchase and Xiaomi has agreed to sell hardware equipment, with the term extended from July 29, 2025 to December 31, 2027; and (2) the Company has agreed to purchase and Xiaomi has agreed to provide API-related services for an initial term from April 23, 2026 to December 31, 2027.</w:t>
      </w:r>
    </w:p>
    <w:p>
      <w:pPr>
        <w:spacing w:after="0" w:line="176"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REVISION OF CONTINUING CONNECTED TRANSACTIONS</w:t>
      </w:r>
    </w:p>
    <w:p>
      <w:pPr>
        <w:spacing w:after="0" w:line="225"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2024 Xiaomi Framework Agreement</w:t>
      </w:r>
    </w:p>
    <w:p>
      <w:pPr>
        <w:spacing w:after="0" w:line="225" w:lineRule="exact"/>
        <w:rPr>
          <w:sz w:val="20"/>
          <w:szCs w:val="20"/>
          <w:color w:val="auto"/>
        </w:rPr>
      </w:pPr>
    </w:p>
    <w:p>
      <w:pPr>
        <w:ind w:left="620" w:hanging="612"/>
        <w:spacing w:after="0"/>
        <w:tabs>
          <w:tab w:leader="none" w:pos="620" w:val="left"/>
        </w:tabs>
        <w:numPr>
          <w:ilvl w:val="0"/>
          <w:numId w:val="4"/>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Principal Terms</w:t>
      </w:r>
    </w:p>
    <w:p>
      <w:pPr>
        <w:spacing w:after="0" w:line="229" w:lineRule="exact"/>
        <w:rPr>
          <w:rFonts w:ascii="Times New Roman" w:cs="Times New Roman" w:eastAsia="Times New Roman" w:hAnsi="Times New Roman"/>
          <w:sz w:val="18"/>
          <w:szCs w:val="18"/>
          <w:b w:val="1"/>
          <w:bCs w:val="1"/>
          <w:i w:val="1"/>
          <w:iCs w:val="1"/>
          <w:color w:val="231F20"/>
        </w:rPr>
      </w:pPr>
    </w:p>
    <w:p>
      <w:pPr>
        <w:ind w:left="620"/>
        <w:spacing w:after="0"/>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231F20"/>
        </w:rPr>
        <w:t>The principal terms of the 2024 Xiaomi Framework Agreement are summarized as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231F20"/>
              </w:rPr>
              <w:t>Date:</w:t>
            </w: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November 19, 2024</w:t>
            </w:r>
          </w:p>
        </w:tc>
      </w:tr>
      <w:tr>
        <w:trPr>
          <w:trHeight w:val="432"/>
        </w:trPr>
        <w:tc>
          <w:tcPr>
            <w:tcW w:w="28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231F20"/>
              </w:rPr>
              <w:t>Parties:</w:t>
            </w: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(i)       the Company; and</w:t>
            </w:r>
          </w:p>
        </w:tc>
      </w:tr>
      <w:tr>
        <w:trPr>
          <w:trHeight w:val="432"/>
        </w:trPr>
        <w:tc>
          <w:tcPr>
            <w:tcW w:w="2820" w:type="dxa"/>
            <w:vAlign w:val="bottom"/>
          </w:tcPr>
          <w:p>
            <w:pPr>
              <w:spacing w:after="0"/>
              <w:rPr>
                <w:sz w:val="24"/>
                <w:szCs w:val="24"/>
                <w:color w:val="auto"/>
              </w:rPr>
            </w:pP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(ii)      Xiaomi</w:t>
            </w:r>
          </w:p>
        </w:tc>
      </w:tr>
      <w:tr>
        <w:trPr>
          <w:trHeight w:val="414"/>
        </w:trPr>
        <w:tc>
          <w:tcPr>
            <w:tcW w:w="28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231F20"/>
              </w:rPr>
              <w:t>Term:</w:t>
            </w: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A term of three years from January 1, 2025 to December 31, 2027, subject to the approval of the Independent</w:t>
            </w:r>
          </w:p>
        </w:tc>
      </w:tr>
      <w:tr>
        <w:trPr>
          <w:trHeight w:val="216"/>
        </w:trPr>
        <w:tc>
          <w:tcPr>
            <w:tcW w:w="2820" w:type="dxa"/>
            <w:vAlign w:val="bottom"/>
          </w:tcPr>
          <w:p>
            <w:pPr>
              <w:spacing w:after="0"/>
              <w:rPr>
                <w:sz w:val="18"/>
                <w:szCs w:val="18"/>
                <w:color w:val="auto"/>
              </w:rPr>
            </w:pP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Shareholders. The parties have agreed that, subject to compliance with the relevant laws and regulations and the</w:t>
            </w:r>
          </w:p>
        </w:tc>
      </w:tr>
      <w:tr>
        <w:trPr>
          <w:trHeight w:val="234"/>
        </w:trPr>
        <w:tc>
          <w:tcPr>
            <w:tcW w:w="2820" w:type="dxa"/>
            <w:vAlign w:val="bottom"/>
          </w:tcPr>
          <w:p>
            <w:pPr>
              <w:spacing w:after="0"/>
              <w:rPr>
                <w:sz w:val="20"/>
                <w:szCs w:val="20"/>
                <w:color w:val="auto"/>
              </w:rPr>
            </w:pP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Hong Kong Listing Rules, the agreement will be renewed with the consent of the parties.</w:t>
            </w:r>
          </w:p>
        </w:tc>
      </w:tr>
      <w:tr>
        <w:trPr>
          <w:trHeight w:val="414"/>
        </w:trPr>
        <w:tc>
          <w:tcPr>
            <w:tcW w:w="28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231F20"/>
              </w:rPr>
              <w:t>Nature of the transactions:</w:t>
            </w: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For the scope of services to be conducted from time to time under the 2024 Xiaomi Framework Agreement, please</w:t>
            </w:r>
          </w:p>
        </w:tc>
      </w:tr>
      <w:tr>
        <w:trPr>
          <w:trHeight w:val="216"/>
        </w:trPr>
        <w:tc>
          <w:tcPr>
            <w:tcW w:w="2820" w:type="dxa"/>
            <w:vAlign w:val="bottom"/>
          </w:tcPr>
          <w:p>
            <w:pPr>
              <w:spacing w:after="0"/>
              <w:rPr>
                <w:sz w:val="18"/>
                <w:szCs w:val="18"/>
                <w:color w:val="auto"/>
              </w:rPr>
            </w:pP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refer to the announcements of the Company dated November 19, 2024 and December 31, 2024 and the circular</w:t>
            </w:r>
          </w:p>
        </w:tc>
      </w:tr>
      <w:tr>
        <w:trPr>
          <w:trHeight w:val="234"/>
        </w:trPr>
        <w:tc>
          <w:tcPr>
            <w:tcW w:w="2820" w:type="dxa"/>
            <w:vAlign w:val="bottom"/>
          </w:tcPr>
          <w:p>
            <w:pPr>
              <w:spacing w:after="0"/>
              <w:rPr>
                <w:sz w:val="20"/>
                <w:szCs w:val="20"/>
                <w:color w:val="auto"/>
              </w:rPr>
            </w:pPr>
          </w:p>
        </w:tc>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dated November 29, 2024.</w:t>
            </w:r>
          </w:p>
        </w:tc>
      </w:tr>
      <w:tr>
        <w:trPr>
          <w:trHeight w:val="648"/>
        </w:trPr>
        <w:tc>
          <w:tcPr>
            <w:tcW w:w="282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0" w:right="339" w:bottom="1440" w:gutter="0" w:footer="0" w:header="0"/>
        </w:sectPr>
      </w:pPr>
    </w:p>
    <w:bookmarkStart w:id="7" w:name="page8"/>
    <w:bookmarkEnd w:id="7"/>
    <w:p>
      <w:pPr>
        <w:jc w:val="both"/>
        <w:ind w:left="2940"/>
        <w:spacing w:after="0" w:line="261" w:lineRule="auto"/>
        <w:rPr>
          <w:sz w:val="20"/>
          <w:szCs w:val="20"/>
          <w:color w:val="auto"/>
        </w:rPr>
      </w:pPr>
      <w:r>
        <w:rPr>
          <w:rFonts w:ascii="Times New Roman" w:cs="Times New Roman" w:eastAsia="Times New Roman" w:hAnsi="Times New Roman"/>
          <w:sz w:val="18"/>
          <w:szCs w:val="18"/>
          <w:color w:val="231F20"/>
        </w:rPr>
        <w:t>In respect of the proposed revised annual caps for cloud services: The Group has agreed to provide cloud services to the Xiaomi Corporation, including but not limited to cloud storage, cloud computing, computing power services, comprehensive cloud solutions, and technical support, maintenance and upgrading services and other related or similar services.</w:t>
      </w:r>
    </w:p>
    <w:p>
      <w:pPr>
        <w:spacing w:after="0" w:line="176" w:lineRule="exact"/>
        <w:rPr>
          <w:sz w:val="20"/>
          <w:szCs w:val="20"/>
          <w:color w:val="auto"/>
        </w:rPr>
      </w:pPr>
    </w:p>
    <w:p>
      <w:pPr>
        <w:ind w:left="2940" w:hanging="2280"/>
        <w:spacing w:after="0" w:line="286" w:lineRule="auto"/>
        <w:rPr>
          <w:sz w:val="20"/>
          <w:szCs w:val="20"/>
          <w:color w:val="auto"/>
        </w:rPr>
      </w:pPr>
      <w:r>
        <w:rPr>
          <w:rFonts w:ascii="Times New Roman" w:cs="Times New Roman" w:eastAsia="Times New Roman" w:hAnsi="Times New Roman"/>
          <w:sz w:val="18"/>
          <w:szCs w:val="18"/>
          <w:b w:val="1"/>
          <w:bCs w:val="1"/>
          <w:color w:val="231F20"/>
        </w:rPr>
        <w:t xml:space="preserve">Principle of the transactions: </w:t>
      </w:r>
      <w:r>
        <w:rPr>
          <w:rFonts w:ascii="Times New Roman" w:cs="Times New Roman" w:eastAsia="Times New Roman" w:hAnsi="Times New Roman"/>
          <w:sz w:val="18"/>
          <w:szCs w:val="18"/>
          <w:color w:val="231F20"/>
        </w:rPr>
        <w:t>The transactions under the 2024 Xiaomi Framework Agreement shall follow the principle of fairness and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reasonableness and shall be conducted on normal commercial terms or better.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The Group may, from time to time, enter into specific agreements with the Xiaomi Corporation to specify the</w:t>
            </w:r>
          </w:p>
        </w:tc>
      </w:tr>
      <w:tr>
        <w:trPr>
          <w:trHeight w:val="216"/>
        </w:trPr>
        <w:tc>
          <w:tcPr>
            <w:tcW w:w="2320" w:type="dxa"/>
            <w:vAlign w:val="bottom"/>
          </w:tcPr>
          <w:p>
            <w:pPr>
              <w:spacing w:after="0"/>
              <w:rPr>
                <w:sz w:val="18"/>
                <w:szCs w:val="18"/>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details such as service fees, payment and settlement arrangements, leased assets, sale price, interest rate and other</w:t>
            </w:r>
          </w:p>
        </w:tc>
      </w:tr>
      <w:tr>
        <w:trPr>
          <w:trHeight w:val="234"/>
        </w:trPr>
        <w:tc>
          <w:tcPr>
            <w:tcW w:w="2320" w:type="dxa"/>
            <w:vAlign w:val="bottom"/>
          </w:tcPr>
          <w:p>
            <w:pPr>
              <w:spacing w:after="0"/>
              <w:rPr>
                <w:sz w:val="20"/>
                <w:szCs w:val="20"/>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specifications, provided that the principles in the 2024 Xiaomi Framework Agreement must be followed.</w:t>
            </w:r>
          </w:p>
        </w:tc>
      </w:tr>
      <w:tr>
        <w:trPr>
          <w:trHeight w:val="414"/>
        </w:trPr>
        <w:tc>
          <w:tcPr>
            <w:tcW w:w="2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231F20"/>
              </w:rPr>
              <w:t>Pricing basis:</w:t>
            </w: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To ensure that the pricing under the 2024 Xiaomi Framework Agreement is fair and reasonable and in the interests</w:t>
            </w:r>
          </w:p>
        </w:tc>
      </w:tr>
      <w:tr>
        <w:trPr>
          <w:trHeight w:val="216"/>
        </w:trPr>
        <w:tc>
          <w:tcPr>
            <w:tcW w:w="2320" w:type="dxa"/>
            <w:vAlign w:val="bottom"/>
          </w:tcPr>
          <w:p>
            <w:pPr>
              <w:spacing w:after="0"/>
              <w:rPr>
                <w:sz w:val="18"/>
                <w:szCs w:val="18"/>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of the Company and the Shareholders as a whole, the price/service fees shall be no more favorable than those</w:t>
            </w:r>
          </w:p>
        </w:tc>
      </w:tr>
      <w:tr>
        <w:trPr>
          <w:trHeight w:val="216"/>
        </w:trPr>
        <w:tc>
          <w:tcPr>
            <w:tcW w:w="2320" w:type="dxa"/>
            <w:vAlign w:val="bottom"/>
          </w:tcPr>
          <w:p>
            <w:pPr>
              <w:spacing w:after="0"/>
              <w:rPr>
                <w:sz w:val="18"/>
                <w:szCs w:val="18"/>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offered by the Group to Independent Third Parties, or no less favorable than those offered by Independent Third</w:t>
            </w:r>
          </w:p>
        </w:tc>
      </w:tr>
      <w:tr>
        <w:trPr>
          <w:trHeight w:val="216"/>
        </w:trPr>
        <w:tc>
          <w:tcPr>
            <w:tcW w:w="2320" w:type="dxa"/>
            <w:vAlign w:val="bottom"/>
          </w:tcPr>
          <w:p>
            <w:pPr>
              <w:spacing w:after="0"/>
              <w:rPr>
                <w:sz w:val="18"/>
                <w:szCs w:val="18"/>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Parties to the Group and those offered by the Xiaomi Corporation to Independent Third Parties (as the case may</w:t>
            </w:r>
          </w:p>
        </w:tc>
      </w:tr>
      <w:tr>
        <w:trPr>
          <w:trHeight w:val="234"/>
        </w:trPr>
        <w:tc>
          <w:tcPr>
            <w:tcW w:w="2320" w:type="dxa"/>
            <w:vAlign w:val="bottom"/>
          </w:tcPr>
          <w:p>
            <w:pPr>
              <w:spacing w:after="0"/>
              <w:rPr>
                <w:sz w:val="20"/>
                <w:szCs w:val="20"/>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be).</w:t>
            </w:r>
          </w:p>
        </w:tc>
      </w:tr>
      <w:tr>
        <w:trPr>
          <w:trHeight w:val="432"/>
        </w:trPr>
        <w:tc>
          <w:tcPr>
            <w:tcW w:w="2320" w:type="dxa"/>
            <w:vAlign w:val="bottom"/>
          </w:tcPr>
          <w:p>
            <w:pPr>
              <w:spacing w:after="0"/>
              <w:rPr>
                <w:sz w:val="24"/>
                <w:szCs w:val="24"/>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In respect of the proposed revised annual caps for cloud services:</w:t>
            </w:r>
          </w:p>
        </w:tc>
      </w:tr>
      <w:tr>
        <w:trPr>
          <w:trHeight w:val="414"/>
        </w:trPr>
        <w:tc>
          <w:tcPr>
            <w:tcW w:w="2320" w:type="dxa"/>
            <w:vAlign w:val="bottom"/>
          </w:tcPr>
          <w:p>
            <w:pPr>
              <w:spacing w:after="0"/>
              <w:rPr>
                <w:sz w:val="24"/>
                <w:szCs w:val="24"/>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The Company primarily charges public cloud service customers on a monthly basis based on usage volume and</w:t>
            </w:r>
          </w:p>
        </w:tc>
      </w:tr>
      <w:tr>
        <w:trPr>
          <w:trHeight w:val="212"/>
        </w:trPr>
        <w:tc>
          <w:tcPr>
            <w:tcW w:w="2320" w:type="dxa"/>
            <w:vAlign w:val="bottom"/>
          </w:tcPr>
          <w:p>
            <w:pPr>
              <w:spacing w:after="0"/>
              <w:rPr>
                <w:sz w:val="18"/>
                <w:szCs w:val="18"/>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w w:val="99"/>
              </w:rPr>
              <w:t>duration of use, and the Company adopts a predetermined formula and procedure for the pricing of all public cloud</w:t>
            </w:r>
          </w:p>
        </w:tc>
      </w:tr>
      <w:tr>
        <w:trPr>
          <w:trHeight w:val="216"/>
        </w:trPr>
        <w:tc>
          <w:tcPr>
            <w:tcW w:w="2320" w:type="dxa"/>
            <w:vAlign w:val="bottom"/>
          </w:tcPr>
          <w:p>
            <w:pPr>
              <w:spacing w:after="0"/>
              <w:rPr>
                <w:sz w:val="18"/>
                <w:szCs w:val="18"/>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service customers (including Xiaomi Corporation and other Independent Third Party customers) (the “</w:t>
            </w:r>
            <w:r>
              <w:rPr>
                <w:rFonts w:ascii="Times New Roman" w:cs="Times New Roman" w:eastAsia="Times New Roman" w:hAnsi="Times New Roman"/>
                <w:sz w:val="18"/>
                <w:szCs w:val="18"/>
                <w:b w:val="1"/>
                <w:bCs w:val="1"/>
                <w:color w:val="231F20"/>
              </w:rPr>
              <w:t>Cloud</w:t>
            </w:r>
          </w:p>
        </w:tc>
      </w:tr>
      <w:tr>
        <w:trPr>
          <w:trHeight w:val="220"/>
        </w:trPr>
        <w:tc>
          <w:tcPr>
            <w:tcW w:w="2320" w:type="dxa"/>
            <w:vAlign w:val="bottom"/>
          </w:tcPr>
          <w:p>
            <w:pPr>
              <w:spacing w:after="0"/>
              <w:rPr>
                <w:sz w:val="19"/>
                <w:szCs w:val="19"/>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231F20"/>
              </w:rPr>
              <w:t>Service Pricing Policy</w:t>
            </w:r>
            <w:r>
              <w:rPr>
                <w:rFonts w:ascii="Times New Roman" w:cs="Times New Roman" w:eastAsia="Times New Roman" w:hAnsi="Times New Roman"/>
                <w:sz w:val="18"/>
                <w:szCs w:val="18"/>
                <w:color w:val="231F20"/>
              </w:rPr>
              <w:t>”). The Cloud Service Pricing Policy has established a clearly structured pricing</w:t>
            </w:r>
          </w:p>
        </w:tc>
      </w:tr>
      <w:tr>
        <w:trPr>
          <w:trHeight w:val="234"/>
        </w:trPr>
        <w:tc>
          <w:tcPr>
            <w:tcW w:w="2320" w:type="dxa"/>
            <w:vAlign w:val="bottom"/>
          </w:tcPr>
          <w:p>
            <w:pPr>
              <w:spacing w:after="0"/>
              <w:rPr>
                <w:sz w:val="20"/>
                <w:szCs w:val="20"/>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methodology for public cloud services to ensure that the terms are fair and commercially competitive.</w:t>
            </w:r>
          </w:p>
        </w:tc>
      </w:tr>
      <w:tr>
        <w:trPr>
          <w:trHeight w:val="414"/>
        </w:trPr>
        <w:tc>
          <w:tcPr>
            <w:tcW w:w="2320" w:type="dxa"/>
            <w:vAlign w:val="bottom"/>
          </w:tcPr>
          <w:p>
            <w:pPr>
              <w:spacing w:after="0"/>
              <w:rPr>
                <w:sz w:val="24"/>
                <w:szCs w:val="24"/>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The service fees for the cloud services payable by the Xiaomi Corporation shall be determined on an arm’s-length</w:t>
            </w:r>
          </w:p>
        </w:tc>
      </w:tr>
      <w:tr>
        <w:trPr>
          <w:trHeight w:val="216"/>
        </w:trPr>
        <w:tc>
          <w:tcPr>
            <w:tcW w:w="2320" w:type="dxa"/>
            <w:vAlign w:val="bottom"/>
          </w:tcPr>
          <w:p>
            <w:pPr>
              <w:spacing w:after="0"/>
              <w:rPr>
                <w:sz w:val="18"/>
                <w:szCs w:val="18"/>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basis between the parties with reference to, among other things, the costs and expenses of such services, the</w:t>
            </w:r>
          </w:p>
        </w:tc>
      </w:tr>
      <w:tr>
        <w:trPr>
          <w:trHeight w:val="216"/>
        </w:trPr>
        <w:tc>
          <w:tcPr>
            <w:tcW w:w="2320" w:type="dxa"/>
            <w:vAlign w:val="bottom"/>
          </w:tcPr>
          <w:p>
            <w:pPr>
              <w:spacing w:after="0"/>
              <w:rPr>
                <w:sz w:val="18"/>
                <w:szCs w:val="18"/>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transaction amount, the expected profit margin of the Group, the service price offered by the Group to other</w:t>
            </w:r>
          </w:p>
        </w:tc>
      </w:tr>
      <w:tr>
        <w:trPr>
          <w:trHeight w:val="216"/>
        </w:trPr>
        <w:tc>
          <w:tcPr>
            <w:tcW w:w="2320" w:type="dxa"/>
            <w:vAlign w:val="bottom"/>
          </w:tcPr>
          <w:p>
            <w:pPr>
              <w:spacing w:after="0"/>
              <w:rPr>
                <w:sz w:val="18"/>
                <w:szCs w:val="18"/>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Independent Third Parties and the prevailing market prices of services with similar technical specifications and</w:t>
            </w:r>
          </w:p>
        </w:tc>
      </w:tr>
      <w:tr>
        <w:trPr>
          <w:trHeight w:val="234"/>
        </w:trPr>
        <w:tc>
          <w:tcPr>
            <w:tcW w:w="2320" w:type="dxa"/>
            <w:vAlign w:val="bottom"/>
          </w:tcPr>
          <w:p>
            <w:pPr>
              <w:spacing w:after="0"/>
              <w:rPr>
                <w:sz w:val="20"/>
                <w:szCs w:val="20"/>
                <w:color w:val="auto"/>
              </w:rPr>
            </w:pPr>
          </w:p>
        </w:tc>
        <w:tc>
          <w:tcPr>
            <w:tcW w:w="892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quantities.</w:t>
            </w:r>
          </w:p>
        </w:tc>
      </w:tr>
      <w:tr>
        <w:trPr>
          <w:trHeight w:val="648"/>
        </w:trPr>
        <w:tc>
          <w:tcPr>
            <w:tcW w:w="232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4" w:right="339" w:bottom="1440" w:gutter="0" w:footer="0" w:header="0"/>
        </w:sectPr>
      </w:pPr>
    </w:p>
    <w:bookmarkStart w:id="8" w:name="page9"/>
    <w:bookmarkEnd w:id="8"/>
    <w:p>
      <w:pPr>
        <w:ind w:left="620" w:hanging="612"/>
        <w:spacing w:after="0"/>
        <w:tabs>
          <w:tab w:leader="none" w:pos="620" w:val="left"/>
        </w:tabs>
        <w:numPr>
          <w:ilvl w:val="0"/>
          <w:numId w:val="5"/>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Annual Caps</w:t>
      </w:r>
    </w:p>
    <w:p>
      <w:pPr>
        <w:spacing w:after="0" w:line="227" w:lineRule="exact"/>
        <w:rPr>
          <w:sz w:val="20"/>
          <w:szCs w:val="20"/>
          <w:color w:val="auto"/>
        </w:rPr>
      </w:pPr>
    </w:p>
    <w:p>
      <w:pPr>
        <w:ind w:left="620" w:hanging="612"/>
        <w:spacing w:after="0"/>
        <w:tabs>
          <w:tab w:leader="none" w:pos="620" w:val="left"/>
        </w:tabs>
        <w:numPr>
          <w:ilvl w:val="0"/>
          <w:numId w:val="6"/>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Annual caps and historical amounts</w:t>
      </w:r>
    </w:p>
    <w:p>
      <w:pPr>
        <w:spacing w:after="0" w:line="227" w:lineRule="exact"/>
        <w:rPr>
          <w:rFonts w:ascii="Times New Roman" w:cs="Times New Roman" w:eastAsia="Times New Roman" w:hAnsi="Times New Roman"/>
          <w:sz w:val="18"/>
          <w:szCs w:val="18"/>
          <w:i w:val="1"/>
          <w:iCs w:val="1"/>
          <w:color w:val="231F20"/>
        </w:rPr>
      </w:pPr>
    </w:p>
    <w:p>
      <w:pPr>
        <w:jc w:val="both"/>
        <w:ind w:left="620"/>
        <w:spacing w:after="0" w:line="266" w:lineRule="auto"/>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color w:val="231F20"/>
        </w:rPr>
        <w:t>The table below sets out the annual caps for the provision of cloud services under the 2024 Xiaomi Framework Agreement for the two years of 2025 and 2026, and the historical amounts for the year ended December 31, 2025 and for the period from January 1, 2026 to the date of this announcement:</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rPr>
              <w:t>For the year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rPr>
              <w:t>From January 1,</w:t>
            </w:r>
          </w:p>
        </w:tc>
      </w:tr>
      <w:tr>
        <w:trPr>
          <w:trHeight w:val="216"/>
        </w:trPr>
        <w:tc>
          <w:tcPr>
            <w:tcW w:w="4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231F20"/>
                <w:w w:val="99"/>
              </w:rPr>
              <w:t>ended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2026</w:t>
            </w: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w w:val="98"/>
              </w:rPr>
              <w:t>For the year</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w w:val="99"/>
              </w:rPr>
              <w:t>December 31,</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rPr>
              <w:t>For the year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rPr>
              <w:t>up to the date</w:t>
            </w:r>
          </w:p>
        </w:tc>
      </w:tr>
      <w:tr>
        <w:trPr>
          <w:trHeight w:val="216"/>
        </w:trPr>
        <w:tc>
          <w:tcPr>
            <w:tcW w:w="454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w w:val="99"/>
              </w:rPr>
              <w:t>ended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2025</w:t>
            </w: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w w:val="99"/>
              </w:rPr>
              <w:t>ending</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w w:val="96"/>
              </w:rPr>
              <w:t>of this</w:t>
            </w:r>
          </w:p>
        </w:tc>
      </w:tr>
      <w:tr>
        <w:trPr>
          <w:trHeight w:val="216"/>
        </w:trPr>
        <w:tc>
          <w:tcPr>
            <w:tcW w:w="454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rPr>
              <w:t>December 31,</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w w:val="99"/>
              </w:rPr>
              <w:t>Historical</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w w:val="99"/>
              </w:rPr>
              <w:t>December 31,</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rPr>
              <w:t>announcement</w:t>
            </w:r>
          </w:p>
        </w:tc>
      </w:tr>
      <w:tr>
        <w:trPr>
          <w:trHeight w:val="230"/>
        </w:trPr>
        <w:tc>
          <w:tcPr>
            <w:tcW w:w="45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2025</w:t>
            </w:r>
          </w:p>
        </w:tc>
        <w:tc>
          <w:tcPr>
            <w:tcW w:w="12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rPr>
              <w:t>amount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2026</w:t>
            </w:r>
          </w:p>
        </w:tc>
        <w:tc>
          <w:tcPr>
            <w:tcW w:w="100" w:type="dxa"/>
            <w:vAlign w:val="bottom"/>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w w:val="98"/>
              </w:rPr>
              <w:t>Historical amount</w:t>
            </w:r>
          </w:p>
        </w:tc>
      </w:tr>
      <w:tr>
        <w:trPr>
          <w:trHeight w:val="238"/>
        </w:trPr>
        <w:tc>
          <w:tcPr>
            <w:tcW w:w="45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Annual cap</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(Audited)</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Annual cap</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tc>
        <w:tc>
          <w:tcPr>
            <w:tcW w:w="100" w:type="dxa"/>
            <w:vAlign w:val="bottom"/>
          </w:tcPr>
          <w:p>
            <w:pPr>
              <w:spacing w:after="0"/>
              <w:rPr>
                <w:sz w:val="20"/>
                <w:szCs w:val="20"/>
                <w:color w:val="auto"/>
              </w:rPr>
            </w:pPr>
          </w:p>
        </w:tc>
      </w:tr>
      <w:tr>
        <w:trPr>
          <w:trHeight w:val="237"/>
        </w:trPr>
        <w:tc>
          <w:tcPr>
            <w:tcW w:w="4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4"/>
          </w:tcPr>
          <w:p>
            <w:pPr>
              <w:ind w:left="940"/>
              <w:spacing w:after="0"/>
              <w:rPr>
                <w:sz w:val="20"/>
                <w:szCs w:val="20"/>
                <w:color w:val="auto"/>
              </w:rPr>
            </w:pPr>
            <w:r>
              <w:rPr>
                <w:rFonts w:ascii="Times New Roman" w:cs="Times New Roman" w:eastAsia="Times New Roman" w:hAnsi="Times New Roman"/>
                <w:sz w:val="18"/>
                <w:szCs w:val="18"/>
                <w:i w:val="1"/>
                <w:iCs w:val="1"/>
                <w:color w:val="auto"/>
              </w:rPr>
              <w:t>(RMB million)</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31F20"/>
              </w:rPr>
              <w:t>Fees payable by the Xiaomi Corporation in respect of cloud</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services</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31F20"/>
              </w:rPr>
              <w:t>2,309.8</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31F20"/>
              </w:rPr>
              <w:t>2,255.2</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3,138.3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749.1</w:t>
            </w:r>
          </w:p>
        </w:tc>
      </w:tr>
    </w:tbl>
    <w:p>
      <w:pPr>
        <w:spacing w:after="0" w:line="196" w:lineRule="exact"/>
        <w:rPr>
          <w:sz w:val="20"/>
          <w:szCs w:val="20"/>
          <w:color w:val="auto"/>
        </w:rPr>
      </w:pPr>
    </w:p>
    <w:p>
      <w:pPr>
        <w:ind w:left="620" w:hanging="612"/>
        <w:spacing w:after="0"/>
        <w:tabs>
          <w:tab w:leader="none" w:pos="620" w:val="left"/>
        </w:tabs>
        <w:numPr>
          <w:ilvl w:val="0"/>
          <w:numId w:val="7"/>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Proposed revised annual cap</w:t>
      </w:r>
    </w:p>
    <w:p>
      <w:pPr>
        <w:spacing w:after="0" w:line="227" w:lineRule="exact"/>
        <w:rPr>
          <w:rFonts w:ascii="Times New Roman" w:cs="Times New Roman" w:eastAsia="Times New Roman" w:hAnsi="Times New Roman"/>
          <w:sz w:val="18"/>
          <w:szCs w:val="18"/>
          <w:i w:val="1"/>
          <w:iCs w:val="1"/>
          <w:color w:val="231F20"/>
        </w:rPr>
      </w:pPr>
    </w:p>
    <w:p>
      <w:pPr>
        <w:ind w:left="620"/>
        <w:spacing w:after="0" w:line="282" w:lineRule="auto"/>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color w:val="231F20"/>
        </w:rPr>
        <w:t>The following table sets out the existing and proposed revised annual caps for the provision of cloud services under the 2024 Xiaomi Framework Agreement for the two years of 2026 and 2027:</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2026</w:t>
            </w: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2027</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54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8"/>
                <w:szCs w:val="18"/>
                <w:i w:val="1"/>
                <w:iCs w:val="1"/>
                <w:color w:val="231F20"/>
                <w:w w:val="99"/>
              </w:rPr>
              <w:t>(RMB million)</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4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231F20"/>
                <w:w w:val="99"/>
              </w:rPr>
              <w:t>Proposed</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210"/>
              <w:spacing w:after="0" w:line="188" w:lineRule="exact"/>
              <w:rPr>
                <w:sz w:val="20"/>
                <w:szCs w:val="20"/>
                <w:color w:val="auto"/>
              </w:rPr>
            </w:pPr>
            <w:r>
              <w:rPr>
                <w:rFonts w:ascii="Times New Roman" w:cs="Times New Roman" w:eastAsia="Times New Roman" w:hAnsi="Times New Roman"/>
                <w:sz w:val="18"/>
                <w:szCs w:val="18"/>
                <w:b w:val="1"/>
                <w:bCs w:val="1"/>
                <w:color w:val="231F20"/>
                <w:w w:val="99"/>
              </w:rPr>
              <w:t>Proposed</w:t>
            </w:r>
          </w:p>
        </w:tc>
        <w:tc>
          <w:tcPr>
            <w:tcW w:w="10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16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231F20"/>
              </w:rPr>
              <w:t>Original</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231F20"/>
              </w:rPr>
              <w:t>revised</w:t>
            </w:r>
          </w:p>
        </w:tc>
        <w:tc>
          <w:tcPr>
            <w:tcW w:w="17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231F20"/>
                <w:w w:val="98"/>
              </w:rPr>
              <w:t>Original</w:t>
            </w: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231F20"/>
                <w:w w:val="98"/>
              </w:rPr>
              <w:t>revised</w:t>
            </w:r>
          </w:p>
        </w:tc>
      </w:tr>
      <w:tr>
        <w:trPr>
          <w:trHeight w:val="238"/>
        </w:trPr>
        <w:tc>
          <w:tcPr>
            <w:tcW w:w="4540" w:type="dxa"/>
            <w:vAlign w:val="bottom"/>
          </w:tcPr>
          <w:p>
            <w:pPr>
              <w:spacing w:after="0"/>
              <w:rPr>
                <w:sz w:val="20"/>
                <w:szCs w:val="20"/>
                <w:color w:val="auto"/>
              </w:rPr>
            </w:pPr>
          </w:p>
        </w:tc>
        <w:tc>
          <w:tcPr>
            <w:tcW w:w="16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231F20"/>
                <w:w w:val="99"/>
              </w:rPr>
              <w:t>annual cap</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231F20"/>
                <w:w w:val="99"/>
              </w:rPr>
              <w:t>annual cap</w:t>
            </w: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231F20"/>
                <w:w w:val="99"/>
              </w:rPr>
              <w:t>annual cap</w:t>
            </w: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231F20"/>
              </w:rPr>
              <w:t>annual cap</w:t>
            </w:r>
          </w:p>
        </w:tc>
      </w:tr>
      <w:tr>
        <w:trPr>
          <w:trHeight w:val="178"/>
        </w:trPr>
        <w:tc>
          <w:tcPr>
            <w:tcW w:w="4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231F20"/>
              </w:rPr>
              <w:t>Fees payable by the Xiaomi Corporation in respect of cloud</w:t>
            </w: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services</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31F20"/>
              </w:rPr>
              <w:t>3,138.3</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31F20"/>
              </w:rPr>
              <w:t>4,000.0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4,035.1</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6,000.0</w:t>
            </w:r>
          </w:p>
        </w:tc>
      </w:tr>
    </w:tbl>
    <w:p>
      <w:pPr>
        <w:spacing w:after="0" w:line="196" w:lineRule="exact"/>
        <w:rPr>
          <w:sz w:val="20"/>
          <w:szCs w:val="20"/>
          <w:color w:val="auto"/>
        </w:rPr>
      </w:pPr>
    </w:p>
    <w:p>
      <w:pPr>
        <w:ind w:left="620" w:hanging="612"/>
        <w:spacing w:after="0"/>
        <w:tabs>
          <w:tab w:leader="none" w:pos="620" w:val="left"/>
        </w:tabs>
        <w:numPr>
          <w:ilvl w:val="0"/>
          <w:numId w:val="8"/>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Basis for determining the proposed revised annual caps for cloud services</w:t>
      </w:r>
    </w:p>
    <w:p>
      <w:pPr>
        <w:spacing w:after="0" w:line="227" w:lineRule="exact"/>
        <w:rPr>
          <w:rFonts w:ascii="Times New Roman" w:cs="Times New Roman" w:eastAsia="Times New Roman" w:hAnsi="Times New Roman"/>
          <w:sz w:val="18"/>
          <w:szCs w:val="18"/>
          <w:i w:val="1"/>
          <w:iCs w:val="1"/>
          <w:color w:val="231F20"/>
        </w:rPr>
      </w:pPr>
    </w:p>
    <w:p>
      <w:pPr>
        <w:jc w:val="both"/>
        <w:ind w:left="620"/>
        <w:spacing w:after="0" w:line="266" w:lineRule="auto"/>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color w:val="231F20"/>
        </w:rPr>
        <w:t>The proposed revised annual caps for the fees payable by the Xiaomi Corporation in respect of the cloud services for the two years ending December 31, 2027 are determined with reference to, among other things, the following factors, with an additional buffer of a certain percentage on top to provide for operational flexibility and cater for any potential increment in the transaction volume: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504" w:hanging="504"/>
        <w:spacing w:after="0"/>
        <w:tabs>
          <w:tab w:leader="none" w:pos="504" w:val="left"/>
        </w:tabs>
        <w:numPr>
          <w:ilvl w:val="0"/>
          <w:numId w:val="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Continuous growth in demand for cloud services from the Xiaomi Corporation</w:t>
      </w:r>
    </w:p>
    <w:p>
      <w:pPr>
        <w:spacing w:after="0" w:line="229" w:lineRule="exact"/>
        <w:rPr>
          <w:rFonts w:ascii="Times New Roman" w:cs="Times New Roman" w:eastAsia="Times New Roman" w:hAnsi="Times New Roman"/>
          <w:sz w:val="18"/>
          <w:szCs w:val="18"/>
          <w:b w:val="1"/>
          <w:bCs w:val="1"/>
          <w:color w:val="231F20"/>
        </w:rPr>
      </w:pPr>
    </w:p>
    <w:p>
      <w:pPr>
        <w:jc w:val="both"/>
        <w:ind w:left="524"/>
        <w:spacing w:after="0" w:line="266"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The Group is committed to continuously improving its cloud services for its clients’ core business segments, including Xiaomi’s core business segments, namely (a) the smartphone × AIoT segment; and (b) innovative businesses such as smart electric vehicles and artificial intelligence. It will fully empower the “Human × Car × Home” ecosystem scenarios with artificial intelligence capabilities.</w:t>
      </w:r>
    </w:p>
    <w:p>
      <w:pPr>
        <w:spacing w:after="0" w:line="175" w:lineRule="exact"/>
        <w:rPr>
          <w:rFonts w:ascii="Times New Roman" w:cs="Times New Roman" w:eastAsia="Times New Roman" w:hAnsi="Times New Roman"/>
          <w:sz w:val="18"/>
          <w:szCs w:val="18"/>
          <w:b w:val="1"/>
          <w:bCs w:val="1"/>
          <w:color w:val="231F20"/>
        </w:rPr>
      </w:pPr>
    </w:p>
    <w:p>
      <w:pPr>
        <w:ind w:left="524" w:right="2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Given Xiaomi’s substantial R&amp;D investments in artificial intelligence, robotics, and other technological fields in recent years, the Group expects that its collaboration with Xiaomi in cloud computing and related AI areas will continue to deepen.</w:t>
      </w:r>
    </w:p>
    <w:p>
      <w:pPr>
        <w:spacing w:after="0" w:line="161" w:lineRule="exact"/>
        <w:rPr>
          <w:rFonts w:ascii="Times New Roman" w:cs="Times New Roman" w:eastAsia="Times New Roman" w:hAnsi="Times New Roman"/>
          <w:sz w:val="18"/>
          <w:szCs w:val="18"/>
          <w:b w:val="1"/>
          <w:bCs w:val="1"/>
          <w:color w:val="231F20"/>
        </w:rPr>
      </w:pPr>
    </w:p>
    <w:p>
      <w:pPr>
        <w:jc w:val="both"/>
        <w:ind w:left="524"/>
        <w:spacing w:after="0" w:line="235"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According to Xiaomi’s 2025 annual results announcement, Xiaomi’s annual R&amp;D investment for 2025 was approximately RMB33.1 billion, with cumulative R&amp;D investments over the past five years totaling approximately RMB105.5 billion, and Xiaomi plans to further increase its R&amp;D investment to approximately RMB200 billion over the next five years</w:t>
      </w:r>
      <w:r>
        <w:rPr>
          <w:rFonts w:ascii="Times New Roman" w:cs="Times New Roman" w:eastAsia="Times New Roman" w:hAnsi="Times New Roman"/>
          <w:sz w:val="29"/>
          <w:szCs w:val="29"/>
          <w:color w:val="231F20"/>
          <w:vertAlign w:val="superscript"/>
        </w:rPr>
        <w:t>(Note)</w:t>
      </w:r>
      <w:r>
        <w:rPr>
          <w:rFonts w:ascii="Times New Roman" w:cs="Times New Roman" w:eastAsia="Times New Roman" w:hAnsi="Times New Roman"/>
          <w:sz w:val="18"/>
          <w:szCs w:val="18"/>
          <w:color w:val="231F20"/>
        </w:rPr>
        <w:t>. Meanwhile, Xiaomi has stated that its investment in the AI field over the next three years will be approximately RMB60 billion, of which the annual investment in AI and embodied intelligent-related fields for 2026 is expected to exceed RMB16 billion.</w:t>
      </w:r>
    </w:p>
    <w:p>
      <w:pPr>
        <w:spacing w:after="0" w:line="199" w:lineRule="exact"/>
        <w:rPr>
          <w:rFonts w:ascii="Times New Roman" w:cs="Times New Roman" w:eastAsia="Times New Roman" w:hAnsi="Times New Roman"/>
          <w:sz w:val="18"/>
          <w:szCs w:val="18"/>
          <w:b w:val="1"/>
          <w:bCs w:val="1"/>
          <w:color w:val="231F20"/>
        </w:rPr>
      </w:pPr>
    </w:p>
    <w:p>
      <w:pPr>
        <w:jc w:val="both"/>
        <w:ind w:left="524"/>
        <w:spacing w:after="0" w:line="261"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the “Human × Car × Home” ecosystem strategy, Xiaomi has launched its self-developed MiMo series large models and promoted the deployment of AI capabilities across diverse terminal scenarios, including smartphones, smart home devices, and smart EVs. In the field of embodied intelligence, Xiaomi’s humanoid robots have entered its automotive factories for “internships”, and Xiaomi has published multiple research results on large models and algorithms related to robotics.</w:t>
      </w:r>
    </w:p>
    <w:p>
      <w:pPr>
        <w:spacing w:after="0" w:line="179" w:lineRule="exact"/>
        <w:rPr>
          <w:rFonts w:ascii="Times New Roman" w:cs="Times New Roman" w:eastAsia="Times New Roman" w:hAnsi="Times New Roman"/>
          <w:sz w:val="18"/>
          <w:szCs w:val="18"/>
          <w:b w:val="1"/>
          <w:bCs w:val="1"/>
          <w:color w:val="231F20"/>
        </w:rPr>
      </w:pPr>
    </w:p>
    <w:p>
      <w:pPr>
        <w:jc w:val="both"/>
        <w:ind w:left="524"/>
        <w:spacing w:after="0" w:line="261"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The Group provides Xiaomi with highly scalable and reliable cloud computing and AI infrastructure services, which help support the large-scale deployment of its innovative businesses, including large model training and inference workloads, robotics, and smart electric vehicles, and also create synergies with Xiaomi’s three engine business model of “Smartphones × AIoT + Smart EVs + AI”. The Group expects continued growth in cloud service demand from Xiaomi Corporation.</w:t>
      </w:r>
    </w:p>
    <w:p>
      <w:pPr>
        <w:spacing w:after="0" w:line="179" w:lineRule="exact"/>
        <w:rPr>
          <w:rFonts w:ascii="Times New Roman" w:cs="Times New Roman" w:eastAsia="Times New Roman" w:hAnsi="Times New Roman"/>
          <w:sz w:val="18"/>
          <w:szCs w:val="18"/>
          <w:b w:val="1"/>
          <w:bCs w:val="1"/>
          <w:color w:val="231F20"/>
        </w:rPr>
      </w:pPr>
    </w:p>
    <w:p>
      <w:pPr>
        <w:ind w:left="524"/>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Note: The next five years refer to the period from 2026 to 2030</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0" w:name="page11"/>
    <w:bookmarkEnd w:id="10"/>
    <w:p>
      <w:pPr>
        <w:ind w:left="504" w:hanging="504"/>
        <w:spacing w:after="0"/>
        <w:tabs>
          <w:tab w:leader="none" w:pos="504" w:val="left"/>
        </w:tabs>
        <w:numPr>
          <w:ilvl w:val="0"/>
          <w:numId w:val="1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Historical transaction amounts and recent growth rate</w:t>
      </w:r>
    </w:p>
    <w:p>
      <w:pPr>
        <w:spacing w:after="0" w:line="229" w:lineRule="exact"/>
        <w:rPr>
          <w:rFonts w:ascii="Times New Roman" w:cs="Times New Roman" w:eastAsia="Times New Roman" w:hAnsi="Times New Roman"/>
          <w:sz w:val="18"/>
          <w:szCs w:val="18"/>
          <w:b w:val="1"/>
          <w:bCs w:val="1"/>
          <w:color w:val="231F20"/>
        </w:rPr>
      </w:pPr>
    </w:p>
    <w:p>
      <w:pPr>
        <w:jc w:val="both"/>
        <w:ind w:left="524"/>
        <w:spacing w:after="0" w:line="261"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As shown above, for the year ended December 31, 2025, the utilization rate of the existing annual cap for the cloud services provided by the Group to the Xiaomi Corporation was approximately 97.6%. In addition, the transaction amount for cloud services provided by the Group to the Xiaomi Corporation increased significantly, reflecting the Xiaomi Corporation’s increasing reliance on cloud services for its diversified and expanding businesses, details of which are as follows:</w:t>
      </w:r>
    </w:p>
    <w:p>
      <w:pPr>
        <w:spacing w:after="0" w:line="179" w:lineRule="exact"/>
        <w:rPr>
          <w:rFonts w:ascii="Times New Roman" w:cs="Times New Roman" w:eastAsia="Times New Roman" w:hAnsi="Times New Roman"/>
          <w:sz w:val="18"/>
          <w:szCs w:val="18"/>
          <w:b w:val="1"/>
          <w:bCs w:val="1"/>
          <w:color w:val="231F20"/>
        </w:rPr>
      </w:pPr>
    </w:p>
    <w:p>
      <w:pPr>
        <w:jc w:val="both"/>
        <w:ind w:left="924" w:hanging="357"/>
        <w:spacing w:after="0" w:line="266" w:lineRule="auto"/>
        <w:tabs>
          <w:tab w:leader="none" w:pos="924" w:val="left"/>
        </w:tabs>
        <w:numPr>
          <w:ilvl w:val="1"/>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year ended December 31, 2025, the transaction amount for the provision of cloud services by the Group to the Xiaomi Corporation was approximately RMB2,255.2 million, representing an increase of approximately 77.0% as compared to RMB1,273.8 million for the year 2024.</w:t>
      </w:r>
    </w:p>
    <w:p>
      <w:pPr>
        <w:spacing w:after="0" w:line="175" w:lineRule="exact"/>
        <w:rPr>
          <w:rFonts w:ascii="Times New Roman" w:cs="Times New Roman" w:eastAsia="Times New Roman" w:hAnsi="Times New Roman"/>
          <w:sz w:val="18"/>
          <w:szCs w:val="18"/>
          <w:color w:val="231F20"/>
        </w:rPr>
      </w:pPr>
    </w:p>
    <w:p>
      <w:pPr>
        <w:jc w:val="both"/>
        <w:ind w:left="924" w:hanging="357"/>
        <w:spacing w:after="0" w:line="266" w:lineRule="auto"/>
        <w:tabs>
          <w:tab w:leader="none" w:pos="924" w:val="left"/>
        </w:tabs>
        <w:numPr>
          <w:ilvl w:val="1"/>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From January 1, 2026 to the date of this announcement, the transaction amount for the provision of cloud services by the Group to the Xiaomi Corporation was approximately RMB749.1 million, representing an increase of approximately 81.4% as compared to RMB413.0 million for the same period in 2025.</w:t>
      </w:r>
    </w:p>
    <w:p>
      <w:pPr>
        <w:spacing w:after="0" w:line="171" w:lineRule="exact"/>
        <w:rPr>
          <w:rFonts w:ascii="Times New Roman" w:cs="Times New Roman" w:eastAsia="Times New Roman" w:hAnsi="Times New Roman"/>
          <w:sz w:val="18"/>
          <w:szCs w:val="18"/>
          <w:color w:val="231F20"/>
        </w:rPr>
      </w:pPr>
    </w:p>
    <w:p>
      <w:pPr>
        <w:ind w:left="504" w:hanging="504"/>
        <w:spacing w:after="0"/>
        <w:tabs>
          <w:tab w:leader="none" w:pos="504" w:val="left"/>
        </w:tabs>
        <w:numPr>
          <w:ilvl w:val="0"/>
          <w:numId w:val="1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Long-term and stable cooperative relationship</w:t>
      </w:r>
    </w:p>
    <w:p>
      <w:pPr>
        <w:spacing w:after="0" w:line="229" w:lineRule="exact"/>
        <w:rPr>
          <w:rFonts w:ascii="Times New Roman" w:cs="Times New Roman" w:eastAsia="Times New Roman" w:hAnsi="Times New Roman"/>
          <w:sz w:val="18"/>
          <w:szCs w:val="18"/>
          <w:b w:val="1"/>
          <w:bCs w:val="1"/>
          <w:color w:val="231F20"/>
        </w:rPr>
      </w:pPr>
    </w:p>
    <w:p>
      <w:pPr>
        <w:jc w:val="both"/>
        <w:ind w:left="524"/>
        <w:spacing w:after="0" w:line="261"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The Group maintains a long-term cooperative relationship with the Xiaomi Corporation. The strong and stable cooperation enables the Group to customize its services to effectively meet the evolving needs of the Xiaomi Corporation. Driven by mutual commercial interests, such long-term business cooperative relationships create unique and powerful synergies for the Xiaomi Corporation and the Group, which in turn constitute the core competitiveness and competitive advantages of the Group in terms of product and cloud service provision.</w:t>
      </w:r>
    </w:p>
    <w:p>
      <w:pPr>
        <w:spacing w:after="0" w:line="175" w:lineRule="exact"/>
        <w:rPr>
          <w:rFonts w:ascii="Times New Roman" w:cs="Times New Roman" w:eastAsia="Times New Roman" w:hAnsi="Times New Roman"/>
          <w:sz w:val="18"/>
          <w:szCs w:val="18"/>
          <w:b w:val="1"/>
          <w:bCs w:val="1"/>
          <w:color w:val="231F20"/>
        </w:rPr>
      </w:pPr>
    </w:p>
    <w:p>
      <w:pPr>
        <w:ind w:left="504" w:hanging="504"/>
        <w:spacing w:after="0"/>
        <w:tabs>
          <w:tab w:leader="none" w:pos="504" w:val="left"/>
        </w:tabs>
        <w:numPr>
          <w:ilvl w:val="0"/>
          <w:numId w:val="1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Fair market rates for similar services</w:t>
      </w:r>
    </w:p>
    <w:p>
      <w:pPr>
        <w:spacing w:after="0" w:line="229" w:lineRule="exact"/>
        <w:rPr>
          <w:rFonts w:ascii="Times New Roman" w:cs="Times New Roman" w:eastAsia="Times New Roman" w:hAnsi="Times New Roman"/>
          <w:sz w:val="18"/>
          <w:szCs w:val="18"/>
          <w:b w:val="1"/>
          <w:bCs w:val="1"/>
          <w:color w:val="231F20"/>
        </w:rPr>
      </w:pPr>
    </w:p>
    <w:p>
      <w:pPr>
        <w:ind w:left="524"/>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According to Wind Financial Terminal, during the five-year historical period from 2019 to 2024, the compound annual growth rate of the cloud service market size in China was approximately 35.3%.</w:t>
      </w:r>
    </w:p>
    <w:p>
      <w:pPr>
        <w:spacing w:after="0" w:line="161" w:lineRule="exact"/>
        <w:rPr>
          <w:rFonts w:ascii="Times New Roman" w:cs="Times New Roman" w:eastAsia="Times New Roman" w:hAnsi="Times New Roman"/>
          <w:sz w:val="18"/>
          <w:szCs w:val="18"/>
          <w:b w:val="1"/>
          <w:bCs w:val="1"/>
          <w:color w:val="231F20"/>
        </w:rPr>
      </w:pPr>
    </w:p>
    <w:p>
      <w:pPr>
        <w:jc w:val="both"/>
        <w:ind w:left="524"/>
        <w:spacing w:after="0" w:line="261"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Despite the substantial increase in the proposed revised annual caps for the cloud services to be provided by the Group to the Xiaomi Corporation for the two years ending December 31, 2027 under the 2024 Xiaomi Framework Agreement, the Board is of the view that the Group will not place undue reliance on the Xiaomi Corporation, considering, among others, the Company’s diversified customer base and the Group’s expected growth in total revenue.</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1" w:name="page12"/>
    <w:bookmarkEnd w:id="11"/>
    <w:p>
      <w:pPr>
        <w:ind w:left="620" w:hanging="612"/>
        <w:spacing w:after="0"/>
        <w:tabs>
          <w:tab w:leader="none" w:pos="620" w:val="left"/>
        </w:tabs>
        <w:numPr>
          <w:ilvl w:val="0"/>
          <w:numId w:val="11"/>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Reasons for and Benefits of the Proposed Revised Annual Caps of Cloud Services</w:t>
      </w:r>
    </w:p>
    <w:p>
      <w:pPr>
        <w:spacing w:after="0" w:line="229" w:lineRule="exact"/>
        <w:rPr>
          <w:rFonts w:ascii="Times New Roman" w:cs="Times New Roman" w:eastAsia="Times New Roman" w:hAnsi="Times New Roman"/>
          <w:sz w:val="18"/>
          <w:szCs w:val="18"/>
          <w:b w:val="1"/>
          <w:bCs w:val="1"/>
          <w:i w:val="1"/>
          <w:iCs w:val="1"/>
          <w:color w:val="231F20"/>
        </w:rPr>
      </w:pPr>
    </w:p>
    <w:p>
      <w:pPr>
        <w:jc w:val="both"/>
        <w:ind w:left="620"/>
        <w:spacing w:after="0" w:line="256" w:lineRule="auto"/>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231F20"/>
        </w:rPr>
        <w:t>The Group has maintained business cooperation with Xiaomi Corporation for more than a decade. The Group provides cloud services to Xiaomi Corporation, particularly public cloud services featuring high customer stickiness and strong growth potential, which will serve as a recurring revenue source for the Group alongside the business expansion of Xiaomi Corporation. Furthermore, supported by Xiaomi’s latest developments in innovative businesses, including its large-scale investment plan in the AI sector, the Group will be able to sustain and secure a stable revenue stream from Xiaomi Corporation’s growing demand for computing power services, thereby further improving the Group’s financial performance and enhancing overall Shareholder returns.</w:t>
      </w:r>
    </w:p>
    <w:p>
      <w:pPr>
        <w:spacing w:after="0" w:line="187" w:lineRule="exact"/>
        <w:rPr>
          <w:rFonts w:ascii="Times New Roman" w:cs="Times New Roman" w:eastAsia="Times New Roman" w:hAnsi="Times New Roman"/>
          <w:sz w:val="18"/>
          <w:szCs w:val="18"/>
          <w:b w:val="1"/>
          <w:bCs w:val="1"/>
          <w:i w:val="1"/>
          <w:iCs w:val="1"/>
          <w:color w:val="231F20"/>
        </w:rPr>
      </w:pPr>
    </w:p>
    <w:p>
      <w:pPr>
        <w:jc w:val="both"/>
        <w:ind w:left="620"/>
        <w:spacing w:after="0" w:line="266" w:lineRule="auto"/>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231F20"/>
        </w:rPr>
        <w:t>In light of the above, the Company considers that the revision of the annual caps for the two years ending December 31, 2027 for the provision of cloud services under the 2024 Xiaomi Framework Agreement is beneficial to regulate the continuing connected transactions contemplated thereunder as such transactions will continue to facilitate the operation and growth of the Group’s business as a whole.</w:t>
      </w:r>
    </w:p>
    <w:p>
      <w:pPr>
        <w:spacing w:after="0" w:line="172"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2025 Xiaomi Cooperation Framework Agreement</w:t>
      </w:r>
    </w:p>
    <w:p>
      <w:pPr>
        <w:spacing w:after="0" w:line="225" w:lineRule="exact"/>
        <w:rPr>
          <w:sz w:val="20"/>
          <w:szCs w:val="20"/>
          <w:color w:val="auto"/>
        </w:rPr>
      </w:pPr>
    </w:p>
    <w:p>
      <w:pPr>
        <w:ind w:left="620" w:hanging="612"/>
        <w:spacing w:after="0"/>
        <w:tabs>
          <w:tab w:leader="none" w:pos="620" w:val="left"/>
        </w:tabs>
        <w:numPr>
          <w:ilvl w:val="0"/>
          <w:numId w:val="13"/>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Principal Terms</w:t>
      </w:r>
    </w:p>
    <w:p>
      <w:pPr>
        <w:spacing w:after="0" w:line="229" w:lineRule="exact"/>
        <w:rPr>
          <w:sz w:val="20"/>
          <w:szCs w:val="20"/>
          <w:color w:val="auto"/>
        </w:rPr>
      </w:pPr>
    </w:p>
    <w:p>
      <w:pPr>
        <w:ind w:left="620" w:right="20"/>
        <w:spacing w:after="0" w:line="282" w:lineRule="auto"/>
        <w:rPr>
          <w:sz w:val="20"/>
          <w:szCs w:val="20"/>
          <w:color w:val="auto"/>
        </w:rPr>
      </w:pPr>
      <w:r>
        <w:rPr>
          <w:rFonts w:ascii="Times New Roman" w:cs="Times New Roman" w:eastAsia="Times New Roman" w:hAnsi="Times New Roman"/>
          <w:sz w:val="18"/>
          <w:szCs w:val="18"/>
          <w:color w:val="231F20"/>
        </w:rPr>
        <w:t>A summary of the principal terms of the 2025 Xiaomi Cooperation Framework Agreement (as supplemented by the supplemental agreement to the 2025 Xiaomi Cooperation Framework Agreement) is set out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231F20"/>
              </w:rPr>
              <w:t>Date:</w:t>
            </w:r>
          </w:p>
        </w:tc>
        <w:tc>
          <w:tcPr>
            <w:tcW w:w="7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231F20"/>
              </w:rPr>
              <w:t>July 29, 2025</w:t>
            </w:r>
          </w:p>
        </w:tc>
        <w:tc>
          <w:tcPr>
            <w:tcW w:w="0" w:type="dxa"/>
            <w:vAlign w:val="bottom"/>
          </w:tcPr>
          <w:p>
            <w:pPr>
              <w:spacing w:after="0"/>
              <w:rPr>
                <w:sz w:val="1"/>
                <w:szCs w:val="1"/>
                <w:color w:val="auto"/>
              </w:rPr>
            </w:pPr>
          </w:p>
        </w:tc>
      </w:tr>
      <w:tr>
        <w:trPr>
          <w:trHeight w:val="432"/>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231F20"/>
              </w:rPr>
              <w:t>Parties:</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231F20"/>
              </w:rPr>
              <w:t>(i)</w:t>
            </w:r>
          </w:p>
        </w:tc>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the Company; and</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231F20"/>
              </w:rPr>
              <w:t>(ii)</w:t>
            </w:r>
          </w:p>
        </w:tc>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Xiaomi</w:t>
            </w:r>
          </w:p>
        </w:tc>
        <w:tc>
          <w:tcPr>
            <w:tcW w:w="0" w:type="dxa"/>
            <w:vAlign w:val="bottom"/>
          </w:tcPr>
          <w:p>
            <w:pPr>
              <w:spacing w:after="0"/>
              <w:rPr>
                <w:sz w:val="1"/>
                <w:szCs w:val="1"/>
                <w:color w:val="auto"/>
              </w:rPr>
            </w:pPr>
          </w:p>
        </w:tc>
      </w:tr>
      <w:tr>
        <w:trPr>
          <w:trHeight w:val="414"/>
        </w:trPr>
        <w:tc>
          <w:tcPr>
            <w:tcW w:w="33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231F20"/>
              </w:rPr>
              <w:t>Duration of transactions:</w:t>
            </w:r>
          </w:p>
        </w:tc>
        <w:tc>
          <w:tcPr>
            <w:tcW w:w="86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The procurement term for IDC-related services is three years, from July 29, 2025 to July 28,</w:t>
            </w:r>
          </w:p>
        </w:tc>
        <w:tc>
          <w:tcPr>
            <w:tcW w:w="0" w:type="dxa"/>
            <w:vAlign w:val="bottom"/>
          </w:tcPr>
          <w:p>
            <w:pPr>
              <w:spacing w:after="0"/>
              <w:rPr>
                <w:sz w:val="1"/>
                <w:szCs w:val="1"/>
                <w:color w:val="auto"/>
              </w:rPr>
            </w:pPr>
          </w:p>
        </w:tc>
      </w:tr>
      <w:tr>
        <w:trPr>
          <w:trHeight w:val="234"/>
        </w:trPr>
        <w:tc>
          <w:tcPr>
            <w:tcW w:w="3300" w:type="dxa"/>
            <w:vAlign w:val="bottom"/>
            <w:vMerge w:val="continue"/>
          </w:tcPr>
          <w:p>
            <w:pPr>
              <w:spacing w:after="0"/>
              <w:rPr>
                <w:sz w:val="20"/>
                <w:szCs w:val="20"/>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231F20"/>
              </w:rPr>
              <w:t>(i)</w:t>
            </w:r>
          </w:p>
        </w:tc>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2028.</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231F20"/>
              </w:rPr>
              <w:t>(ii)</w:t>
            </w:r>
          </w:p>
        </w:tc>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The procurement term for hardware equipment is from July 29, 2025 to December 31, 2027.</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231F20"/>
              </w:rPr>
              <w:t>(iii) The procurement term for API-related services is from April 23, 2026 to December 31, 2027.</w:t>
            </w:r>
          </w:p>
        </w:tc>
        <w:tc>
          <w:tcPr>
            <w:tcW w:w="0" w:type="dxa"/>
            <w:vAlign w:val="bottom"/>
          </w:tcPr>
          <w:p>
            <w:pPr>
              <w:spacing w:after="0"/>
              <w:rPr>
                <w:sz w:val="1"/>
                <w:szCs w:val="1"/>
                <w:color w:val="auto"/>
              </w:rPr>
            </w:pPr>
          </w:p>
        </w:tc>
      </w:tr>
      <w:tr>
        <w:trPr>
          <w:trHeight w:val="414"/>
        </w:trPr>
        <w:tc>
          <w:tcPr>
            <w:tcW w:w="3300" w:type="dxa"/>
            <w:vAlign w:val="bottom"/>
          </w:tcPr>
          <w:p>
            <w:pPr>
              <w:spacing w:after="0"/>
              <w:rPr>
                <w:sz w:val="24"/>
                <w:szCs w:val="24"/>
                <w:color w:val="auto"/>
              </w:rPr>
            </w:pPr>
          </w:p>
        </w:tc>
        <w:tc>
          <w:tcPr>
            <w:tcW w:w="7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The parties have agreed that the term of the transactions will, subject to compliance with the relevant</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7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laws and regulations and the Hong Kong Listing Rules, be renewed with the consent of the parties.</w:t>
            </w:r>
          </w:p>
        </w:tc>
        <w:tc>
          <w:tcPr>
            <w:tcW w:w="0" w:type="dxa"/>
            <w:vAlign w:val="bottom"/>
          </w:tcPr>
          <w:p>
            <w:pPr>
              <w:spacing w:after="0"/>
              <w:rPr>
                <w:sz w:val="1"/>
                <w:szCs w:val="1"/>
                <w:color w:val="auto"/>
              </w:rPr>
            </w:pPr>
          </w:p>
        </w:tc>
      </w:tr>
      <w:tr>
        <w:trPr>
          <w:trHeight w:val="414"/>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231F20"/>
              </w:rPr>
              <w:t>Nature of the transactions:</w:t>
            </w:r>
          </w:p>
        </w:tc>
        <w:tc>
          <w:tcPr>
            <w:tcW w:w="7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The scope of services under the 2025 Xiaomi Cooperation Framework Agreement to be conducted</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7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between the Group and the Xiaomi Corporation from time to time includes the following:</w:t>
            </w:r>
          </w:p>
        </w:tc>
        <w:tc>
          <w:tcPr>
            <w:tcW w:w="0" w:type="dxa"/>
            <w:vAlign w:val="bottom"/>
          </w:tcPr>
          <w:p>
            <w:pPr>
              <w:spacing w:after="0"/>
              <w:rPr>
                <w:sz w:val="1"/>
                <w:szCs w:val="1"/>
                <w:color w:val="auto"/>
              </w:rPr>
            </w:pPr>
          </w:p>
        </w:tc>
      </w:tr>
      <w:tr>
        <w:trPr>
          <w:trHeight w:val="648"/>
        </w:trPr>
        <w:tc>
          <w:tcPr>
            <w:tcW w:w="3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231F20"/>
              </w:rPr>
              <w:t>(i)</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IDC services: The Xiaomi Corporation has agreed to provide IDC-related services to the Group,</w:t>
            </w:r>
          </w:p>
        </w:tc>
      </w:tr>
      <w:tr>
        <w:trPr>
          <w:trHeight w:val="234"/>
        </w:trPr>
        <w:tc>
          <w:tcPr>
            <w:tcW w:w="3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including but not limited to IDC colocation and other related maintenance and support services.</w:t>
            </w:r>
          </w:p>
        </w:tc>
      </w:tr>
      <w:tr>
        <w:trPr>
          <w:trHeight w:val="414"/>
        </w:trPr>
        <w:tc>
          <w:tcPr>
            <w:tcW w:w="3160" w:type="dxa"/>
            <w:vAlign w:val="bottom"/>
          </w:tcPr>
          <w:p>
            <w:pPr>
              <w:spacing w:after="0"/>
              <w:rPr>
                <w:sz w:val="24"/>
                <w:szCs w:val="24"/>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231F20"/>
                <w:w w:val="99"/>
              </w:rPr>
              <w:t>(ii)</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Hardware equipment: The Xiaomi Corporation has agreed to sell hardware equipment to the</w:t>
            </w:r>
          </w:p>
        </w:tc>
      </w:tr>
      <w:tr>
        <w:trPr>
          <w:trHeight w:val="216"/>
        </w:trPr>
        <w:tc>
          <w:tcPr>
            <w:tcW w:w="3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Group, including but not limited to switches and other network hardware equipment and other</w:t>
            </w:r>
          </w:p>
        </w:tc>
      </w:tr>
      <w:tr>
        <w:trPr>
          <w:trHeight w:val="234"/>
        </w:trPr>
        <w:tc>
          <w:tcPr>
            <w:tcW w:w="3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hardware equipment.</w:t>
            </w:r>
          </w:p>
        </w:tc>
      </w:tr>
      <w:tr>
        <w:trPr>
          <w:trHeight w:val="414"/>
        </w:trPr>
        <w:tc>
          <w:tcPr>
            <w:tcW w:w="3160" w:type="dxa"/>
            <w:vAlign w:val="bottom"/>
          </w:tcPr>
          <w:p>
            <w:pPr>
              <w:spacing w:after="0"/>
              <w:rPr>
                <w:sz w:val="24"/>
                <w:szCs w:val="24"/>
                <w:color w:val="auto"/>
              </w:rPr>
            </w:pPr>
          </w:p>
        </w:tc>
        <w:tc>
          <w:tcPr>
            <w:tcW w:w="8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231F20"/>
              </w:rPr>
              <w:t>(iii) API Services: The Xiaomi Corporation has agreed to provide API-related services to the Group,</w:t>
            </w:r>
          </w:p>
        </w:tc>
      </w:tr>
      <w:tr>
        <w:trPr>
          <w:trHeight w:val="234"/>
        </w:trPr>
        <w:tc>
          <w:tcPr>
            <w:tcW w:w="3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including but not limited to the Group’s procurement of Xiaomi’s MiMo model API services.</w:t>
            </w:r>
          </w:p>
        </w:tc>
      </w:tr>
      <w:tr>
        <w:trPr>
          <w:trHeight w:val="414"/>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231F20"/>
              </w:rPr>
              <w:t>Transaction principles:</w:t>
            </w:r>
          </w:p>
        </w:tc>
        <w:tc>
          <w:tcPr>
            <w:tcW w:w="8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231F20"/>
              </w:rPr>
              <w:t>The transactions under the 2025 Xiaomi Cooperation Framework Agreement shall follow the</w:t>
            </w:r>
          </w:p>
        </w:tc>
      </w:tr>
      <w:tr>
        <w:trPr>
          <w:trHeight w:val="216"/>
        </w:trPr>
        <w:tc>
          <w:tcPr>
            <w:tcW w:w="3160" w:type="dxa"/>
            <w:vAlign w:val="bottom"/>
          </w:tcPr>
          <w:p>
            <w:pPr>
              <w:spacing w:after="0"/>
              <w:rPr>
                <w:sz w:val="18"/>
                <w:szCs w:val="18"/>
                <w:color w:val="auto"/>
              </w:rPr>
            </w:pPr>
          </w:p>
        </w:tc>
        <w:tc>
          <w:tcPr>
            <w:tcW w:w="8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231F20"/>
              </w:rPr>
              <w:t>principle of fairness and reasonableness and shall be conducted on normal commercial terms or</w:t>
            </w:r>
          </w:p>
        </w:tc>
      </w:tr>
      <w:tr>
        <w:trPr>
          <w:trHeight w:val="234"/>
        </w:trPr>
        <w:tc>
          <w:tcPr>
            <w:tcW w:w="3160" w:type="dxa"/>
            <w:vAlign w:val="bottom"/>
          </w:tcPr>
          <w:p>
            <w:pPr>
              <w:spacing w:after="0"/>
              <w:rPr>
                <w:sz w:val="20"/>
                <w:szCs w:val="20"/>
                <w:color w:val="auto"/>
              </w:rPr>
            </w:pPr>
          </w:p>
        </w:tc>
        <w:tc>
          <w:tcPr>
            <w:tcW w:w="8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231F20"/>
              </w:rPr>
              <w:t>better.</w:t>
            </w:r>
          </w:p>
        </w:tc>
      </w:tr>
      <w:tr>
        <w:trPr>
          <w:trHeight w:val="414"/>
        </w:trPr>
        <w:tc>
          <w:tcPr>
            <w:tcW w:w="3160" w:type="dxa"/>
            <w:vAlign w:val="bottom"/>
          </w:tcPr>
          <w:p>
            <w:pPr>
              <w:spacing w:after="0"/>
              <w:rPr>
                <w:sz w:val="24"/>
                <w:szCs w:val="24"/>
                <w:color w:val="auto"/>
              </w:rPr>
            </w:pPr>
          </w:p>
        </w:tc>
        <w:tc>
          <w:tcPr>
            <w:tcW w:w="8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231F20"/>
              </w:rPr>
              <w:t>The Group may, from time to time, enter into specific agreements with the Xiaomi Corporation to</w:t>
            </w:r>
          </w:p>
        </w:tc>
      </w:tr>
      <w:tr>
        <w:trPr>
          <w:trHeight w:val="216"/>
        </w:trPr>
        <w:tc>
          <w:tcPr>
            <w:tcW w:w="3160" w:type="dxa"/>
            <w:vAlign w:val="bottom"/>
          </w:tcPr>
          <w:p>
            <w:pPr>
              <w:spacing w:after="0"/>
              <w:rPr>
                <w:sz w:val="18"/>
                <w:szCs w:val="18"/>
                <w:color w:val="auto"/>
              </w:rPr>
            </w:pPr>
          </w:p>
        </w:tc>
        <w:tc>
          <w:tcPr>
            <w:tcW w:w="8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231F20"/>
              </w:rPr>
              <w:t>specify the details of the transactions such as the service fees or the purchase price (as the case may</w:t>
            </w:r>
          </w:p>
        </w:tc>
      </w:tr>
      <w:tr>
        <w:trPr>
          <w:trHeight w:val="216"/>
        </w:trPr>
        <w:tc>
          <w:tcPr>
            <w:tcW w:w="3160" w:type="dxa"/>
            <w:vAlign w:val="bottom"/>
          </w:tcPr>
          <w:p>
            <w:pPr>
              <w:spacing w:after="0"/>
              <w:rPr>
                <w:sz w:val="18"/>
                <w:szCs w:val="18"/>
                <w:color w:val="auto"/>
              </w:rPr>
            </w:pPr>
          </w:p>
        </w:tc>
        <w:tc>
          <w:tcPr>
            <w:tcW w:w="8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231F20"/>
              </w:rPr>
              <w:t>be), the payment schedule, the settlement arrangement and other specifications, provided that the</w:t>
            </w:r>
          </w:p>
        </w:tc>
      </w:tr>
      <w:tr>
        <w:trPr>
          <w:trHeight w:val="234"/>
        </w:trPr>
        <w:tc>
          <w:tcPr>
            <w:tcW w:w="3160" w:type="dxa"/>
            <w:vAlign w:val="bottom"/>
          </w:tcPr>
          <w:p>
            <w:pPr>
              <w:spacing w:after="0"/>
              <w:rPr>
                <w:sz w:val="20"/>
                <w:szCs w:val="20"/>
                <w:color w:val="auto"/>
              </w:rPr>
            </w:pPr>
          </w:p>
        </w:tc>
        <w:tc>
          <w:tcPr>
            <w:tcW w:w="8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231F20"/>
              </w:rPr>
              <w:t>principles in the 2025 Xiaomi Cooperation Framework Agreement must be followed.</w:t>
            </w:r>
          </w:p>
        </w:tc>
      </w:tr>
      <w:tr>
        <w:trPr>
          <w:trHeight w:val="414"/>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231F20"/>
              </w:rPr>
              <w:t>Pricing basis:</w:t>
            </w: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231F20"/>
              </w:rPr>
              <w:t>To</w:t>
            </w:r>
          </w:p>
        </w:tc>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ensure the pricing under the 2025 Xiaomi Cooperation Framework Agreement is fair and</w:t>
            </w:r>
          </w:p>
        </w:tc>
      </w:tr>
      <w:tr>
        <w:trPr>
          <w:trHeight w:val="216"/>
        </w:trPr>
        <w:tc>
          <w:tcPr>
            <w:tcW w:w="3160" w:type="dxa"/>
            <w:vAlign w:val="bottom"/>
          </w:tcPr>
          <w:p>
            <w:pPr>
              <w:spacing w:after="0"/>
              <w:rPr>
                <w:sz w:val="18"/>
                <w:szCs w:val="18"/>
                <w:color w:val="auto"/>
              </w:rPr>
            </w:pPr>
          </w:p>
        </w:tc>
        <w:tc>
          <w:tcPr>
            <w:tcW w:w="8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231F20"/>
              </w:rPr>
              <w:t>reasonable and in the interests of the Company and the Shareholders as a whole, the fees payable by</w:t>
            </w:r>
          </w:p>
        </w:tc>
      </w:tr>
      <w:tr>
        <w:trPr>
          <w:trHeight w:val="216"/>
        </w:trPr>
        <w:tc>
          <w:tcPr>
            <w:tcW w:w="3160" w:type="dxa"/>
            <w:vAlign w:val="bottom"/>
          </w:tcPr>
          <w:p>
            <w:pPr>
              <w:spacing w:after="0"/>
              <w:rPr>
                <w:sz w:val="18"/>
                <w:szCs w:val="18"/>
                <w:color w:val="auto"/>
              </w:rPr>
            </w:pPr>
          </w:p>
        </w:tc>
        <w:tc>
          <w:tcPr>
            <w:tcW w:w="8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231F20"/>
                <w:w w:val="99"/>
              </w:rPr>
              <w:t>the Group shall be no less favorable than those offered by Independent Third Parties to the Group and</w:t>
            </w:r>
          </w:p>
        </w:tc>
      </w:tr>
      <w:tr>
        <w:trPr>
          <w:trHeight w:val="234"/>
        </w:trPr>
        <w:tc>
          <w:tcPr>
            <w:tcW w:w="3160" w:type="dxa"/>
            <w:vAlign w:val="bottom"/>
          </w:tcPr>
          <w:p>
            <w:pPr>
              <w:spacing w:after="0"/>
              <w:rPr>
                <w:sz w:val="20"/>
                <w:szCs w:val="20"/>
                <w:color w:val="auto"/>
              </w:rPr>
            </w:pPr>
          </w:p>
        </w:tc>
        <w:tc>
          <w:tcPr>
            <w:tcW w:w="8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231F20"/>
              </w:rPr>
              <w:t>those offered by Xiaomi Corporation to Independent Third Parties. Specifically:</w:t>
            </w:r>
          </w:p>
        </w:tc>
      </w:tr>
      <w:tr>
        <w:trPr>
          <w:trHeight w:val="414"/>
        </w:trPr>
        <w:tc>
          <w:tcPr>
            <w:tcW w:w="3160" w:type="dxa"/>
            <w:vAlign w:val="bottom"/>
          </w:tcPr>
          <w:p>
            <w:pPr>
              <w:spacing w:after="0"/>
              <w:rPr>
                <w:sz w:val="24"/>
                <w:szCs w:val="24"/>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231F20"/>
              </w:rPr>
              <w:t>(i)</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IDC services: The service fees payable by the Group shall be determined on an arm’s-length</w:t>
            </w:r>
          </w:p>
        </w:tc>
      </w:tr>
      <w:tr>
        <w:trPr>
          <w:trHeight w:val="216"/>
        </w:trPr>
        <w:tc>
          <w:tcPr>
            <w:tcW w:w="3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basis between the parties with reference to, among others, the type and quantity of co-location</w:t>
            </w:r>
          </w:p>
        </w:tc>
      </w:tr>
      <w:tr>
        <w:trPr>
          <w:trHeight w:val="216"/>
        </w:trPr>
        <w:tc>
          <w:tcPr>
            <w:tcW w:w="3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services involved, the actual usage volume, the reliability and stability of the services, and the</w:t>
            </w:r>
          </w:p>
        </w:tc>
      </w:tr>
      <w:tr>
        <w:trPr>
          <w:trHeight w:val="216"/>
        </w:trPr>
        <w:tc>
          <w:tcPr>
            <w:tcW w:w="3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then prevailing market prices for the relevant IDC services with similar technical specifications</w:t>
            </w:r>
          </w:p>
        </w:tc>
      </w:tr>
      <w:tr>
        <w:trPr>
          <w:trHeight w:val="234"/>
        </w:trPr>
        <w:tc>
          <w:tcPr>
            <w:tcW w:w="3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and quantities.</w:t>
            </w:r>
          </w:p>
        </w:tc>
      </w:tr>
      <w:tr>
        <w:trPr>
          <w:trHeight w:val="648"/>
        </w:trPr>
        <w:tc>
          <w:tcPr>
            <w:tcW w:w="3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904" w:right="339" w:bottom="1440" w:gutter="0" w:footer="0" w:header="0"/>
        </w:sectPr>
      </w:pPr>
    </w:p>
    <w:bookmarkStart w:id="13" w:name="page14"/>
    <w:bookmarkEnd w:id="13"/>
    <w:p>
      <w:pPr>
        <w:jc w:val="both"/>
        <w:ind w:left="3440" w:hanging="503"/>
        <w:spacing w:after="0" w:line="261" w:lineRule="auto"/>
        <w:tabs>
          <w:tab w:leader="none" w:pos="34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Hardware equipment: The purchase price payable by the Group shall be determined on an arm’s-length basis between the parties with reference to, among others, the type and specification of the devices, the procurement quantity, and the then prevailing market prices for the hardware devices with similar technical specifications and quantities.</w:t>
      </w:r>
    </w:p>
    <w:p>
      <w:pPr>
        <w:spacing w:after="0" w:line="179" w:lineRule="exact"/>
        <w:rPr>
          <w:rFonts w:ascii="Times New Roman" w:cs="Times New Roman" w:eastAsia="Times New Roman" w:hAnsi="Times New Roman"/>
          <w:sz w:val="18"/>
          <w:szCs w:val="18"/>
          <w:color w:val="231F20"/>
        </w:rPr>
      </w:pPr>
    </w:p>
    <w:p>
      <w:pPr>
        <w:jc w:val="both"/>
        <w:ind w:left="3440" w:hanging="503"/>
        <w:spacing w:after="0" w:line="266" w:lineRule="auto"/>
        <w:tabs>
          <w:tab w:leader="none" w:pos="34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API Services: The service fees payable by the Group shall be determined after arm’s length negotiation by the parties with reference to, among other things, relevant official selling prices, the billing mechanism and usage of API services, as well as the technical parameters and service levels of API services.</w:t>
      </w:r>
    </w:p>
    <w:p>
      <w:pPr>
        <w:spacing w:after="0" w:line="176" w:lineRule="exact"/>
        <w:rPr>
          <w:sz w:val="20"/>
          <w:szCs w:val="20"/>
          <w:color w:val="auto"/>
        </w:rPr>
      </w:pPr>
    </w:p>
    <w:p>
      <w:pPr>
        <w:jc w:val="both"/>
        <w:ind w:left="2940"/>
        <w:spacing w:after="0" w:line="256" w:lineRule="auto"/>
        <w:rPr>
          <w:sz w:val="20"/>
          <w:szCs w:val="20"/>
          <w:color w:val="auto"/>
        </w:rPr>
      </w:pPr>
      <w:r>
        <w:rPr>
          <w:rFonts w:ascii="Times New Roman" w:cs="Times New Roman" w:eastAsia="Times New Roman" w:hAnsi="Times New Roman"/>
          <w:sz w:val="18"/>
          <w:szCs w:val="18"/>
          <w:color w:val="231F20"/>
        </w:rPr>
        <w:t>For the purpose of determining the market price, the Group will seek quotations from at least two other Independent Third Party providers before entering into any purchase order or procurement agreement with the Xiaomi Corporation under the 2025 Xiaomi Cooperation Framework Agreement. The Group will only enter into any specific agreement under the 2025 Xiaomi Cooperation Framework Agreement if the quotation from the Xiaomi Corporation is more favorable to the Group than those from the relevant Independent Third Party providers.</w:t>
      </w:r>
    </w:p>
    <w:p>
      <w:pPr>
        <w:spacing w:after="0" w:line="183"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Annual Caps</w:t>
      </w:r>
    </w:p>
    <w:p>
      <w:pPr>
        <w:spacing w:after="0" w:line="227"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Annual caps and historical amounts</w:t>
      </w:r>
    </w:p>
    <w:p>
      <w:pPr>
        <w:spacing w:after="0" w:line="223" w:lineRule="exact"/>
        <w:rPr>
          <w:rFonts w:ascii="Times New Roman" w:cs="Times New Roman" w:eastAsia="Times New Roman" w:hAnsi="Times New Roman"/>
          <w:sz w:val="18"/>
          <w:szCs w:val="18"/>
          <w:i w:val="1"/>
          <w:iCs w:val="1"/>
          <w:color w:val="231F20"/>
        </w:rPr>
      </w:pPr>
    </w:p>
    <w:p>
      <w:pPr>
        <w:ind w:left="1040" w:hanging="492"/>
        <w:spacing w:after="0"/>
        <w:tabs>
          <w:tab w:leader="none" w:pos="1040" w:val="left"/>
        </w:tabs>
        <w:numPr>
          <w:ilvl w:val="1"/>
          <w:numId w:val="16"/>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in respect of IDC services</w:t>
      </w:r>
    </w:p>
    <w:p>
      <w:pPr>
        <w:spacing w:after="0" w:line="229" w:lineRule="exact"/>
        <w:rPr>
          <w:rFonts w:ascii="Times New Roman" w:cs="Times New Roman" w:eastAsia="Times New Roman" w:hAnsi="Times New Roman"/>
          <w:sz w:val="18"/>
          <w:szCs w:val="18"/>
          <w:b w:val="1"/>
          <w:bCs w:val="1"/>
          <w:color w:val="231F20"/>
        </w:rPr>
      </w:pPr>
    </w:p>
    <w:p>
      <w:pPr>
        <w:jc w:val="both"/>
        <w:ind w:left="1060" w:right="20"/>
        <w:spacing w:after="0" w:line="266"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The following table sets out the annual caps for the procurement of IDC services under the 2025 Xiaomi Cooperation Framework Agreement for the period from July 29, 2025 to December 31, 2026, and the historical amounts for the period from July 29, 2025 to December 31, 2025 and from January 1, 2026 to the date of this announcement: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231F20"/>
                <w:w w:val="99"/>
              </w:rPr>
              <w:t>For the period</w:t>
            </w:r>
          </w:p>
        </w:tc>
        <w:tc>
          <w:tcPr>
            <w:tcW w:w="1700" w:type="dxa"/>
            <w:vAlign w:val="bottom"/>
          </w:tcPr>
          <w:p>
            <w:pPr>
              <w:spacing w:after="0"/>
              <w:rPr>
                <w:sz w:val="18"/>
                <w:szCs w:val="18"/>
                <w:color w:val="auto"/>
              </w:rPr>
            </w:pPr>
          </w:p>
        </w:tc>
        <w:tc>
          <w:tcPr>
            <w:tcW w:w="17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31F20"/>
                <w:w w:val="97"/>
              </w:rPr>
              <w:t>From</w:t>
            </w:r>
          </w:p>
        </w:tc>
      </w:tr>
      <w:tr>
        <w:trPr>
          <w:trHeight w:val="216"/>
        </w:trPr>
        <w:tc>
          <w:tcPr>
            <w:tcW w:w="10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231F20"/>
                <w:w w:val="97"/>
              </w:rPr>
              <w:t>from July</w:t>
            </w:r>
          </w:p>
        </w:tc>
        <w:tc>
          <w:tcPr>
            <w:tcW w:w="1700" w:type="dxa"/>
            <w:vAlign w:val="bottom"/>
          </w:tcPr>
          <w:p>
            <w:pPr>
              <w:spacing w:after="0"/>
              <w:rPr>
                <w:sz w:val="18"/>
                <w:szCs w:val="18"/>
                <w:color w:val="auto"/>
              </w:rPr>
            </w:pPr>
          </w:p>
        </w:tc>
        <w:tc>
          <w:tcPr>
            <w:tcW w:w="17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31F20"/>
                <w:w w:val="99"/>
              </w:rPr>
              <w:t>January 1,</w:t>
            </w:r>
          </w:p>
        </w:tc>
      </w:tr>
      <w:tr>
        <w:trPr>
          <w:trHeight w:val="216"/>
        </w:trPr>
        <w:tc>
          <w:tcPr>
            <w:tcW w:w="10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231F20"/>
              </w:rPr>
              <w:t>For the period</w:t>
            </w:r>
          </w:p>
        </w:tc>
        <w:tc>
          <w:tcPr>
            <w:tcW w:w="24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231F20"/>
                <w:w w:val="98"/>
              </w:rPr>
              <w:t>29, 2025</w:t>
            </w:r>
          </w:p>
        </w:tc>
        <w:tc>
          <w:tcPr>
            <w:tcW w:w="1700" w:type="dxa"/>
            <w:vAlign w:val="bottom"/>
          </w:tcPr>
          <w:p>
            <w:pPr>
              <w:spacing w:after="0"/>
              <w:rPr>
                <w:sz w:val="18"/>
                <w:szCs w:val="18"/>
                <w:color w:val="auto"/>
              </w:rPr>
            </w:pPr>
          </w:p>
        </w:tc>
        <w:tc>
          <w:tcPr>
            <w:tcW w:w="17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231F20"/>
                <w:w w:val="99"/>
              </w:rPr>
              <w:t>2026 up to</w:t>
            </w:r>
          </w:p>
        </w:tc>
      </w:tr>
      <w:tr>
        <w:trPr>
          <w:trHeight w:val="216"/>
        </w:trPr>
        <w:tc>
          <w:tcPr>
            <w:tcW w:w="10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231F20"/>
              </w:rPr>
              <w:t>from July</w:t>
            </w:r>
          </w:p>
        </w:tc>
        <w:tc>
          <w:tcPr>
            <w:tcW w:w="24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231F20"/>
              </w:rPr>
              <w:t>to December</w:t>
            </w:r>
          </w:p>
        </w:tc>
        <w:tc>
          <w:tcPr>
            <w:tcW w:w="17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231F20"/>
              </w:rPr>
              <w:t>For the</w:t>
            </w:r>
          </w:p>
        </w:tc>
        <w:tc>
          <w:tcPr>
            <w:tcW w:w="17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31F20"/>
              </w:rPr>
              <w:t>the date of this</w:t>
            </w:r>
          </w:p>
        </w:tc>
      </w:tr>
      <w:tr>
        <w:trPr>
          <w:trHeight w:val="216"/>
        </w:trPr>
        <w:tc>
          <w:tcPr>
            <w:tcW w:w="10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231F20"/>
              </w:rPr>
              <w:t>29, 2025</w:t>
            </w:r>
          </w:p>
        </w:tc>
        <w:tc>
          <w:tcPr>
            <w:tcW w:w="24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231F20"/>
                <w:w w:val="98"/>
              </w:rPr>
              <w:t>31, 2025</w:t>
            </w:r>
          </w:p>
        </w:tc>
        <w:tc>
          <w:tcPr>
            <w:tcW w:w="17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231F20"/>
                <w:w w:val="99"/>
              </w:rPr>
              <w:t>year ending</w:t>
            </w:r>
          </w:p>
        </w:tc>
        <w:tc>
          <w:tcPr>
            <w:tcW w:w="17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31F20"/>
              </w:rPr>
              <w:t>announcement</w:t>
            </w:r>
          </w:p>
        </w:tc>
      </w:tr>
      <w:tr>
        <w:trPr>
          <w:trHeight w:val="216"/>
        </w:trPr>
        <w:tc>
          <w:tcPr>
            <w:tcW w:w="10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231F20"/>
              </w:rPr>
              <w:t>to December</w:t>
            </w:r>
          </w:p>
        </w:tc>
        <w:tc>
          <w:tcPr>
            <w:tcW w:w="24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231F20"/>
                <w:w w:val="99"/>
              </w:rPr>
              <w:t>Historical</w:t>
            </w:r>
          </w:p>
        </w:tc>
        <w:tc>
          <w:tcPr>
            <w:tcW w:w="17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231F20"/>
                <w:w w:val="99"/>
              </w:rPr>
              <w:t>December</w:t>
            </w:r>
          </w:p>
        </w:tc>
        <w:tc>
          <w:tcPr>
            <w:tcW w:w="17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231F20"/>
                <w:w w:val="99"/>
              </w:rPr>
              <w:t>Historical</w:t>
            </w:r>
          </w:p>
        </w:tc>
      </w:tr>
      <w:tr>
        <w:trPr>
          <w:trHeight w:val="230"/>
        </w:trPr>
        <w:tc>
          <w:tcPr>
            <w:tcW w:w="10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231F20"/>
              </w:rPr>
              <w:t>31, 2025</w:t>
            </w:r>
          </w:p>
        </w:tc>
        <w:tc>
          <w:tcPr>
            <w:tcW w:w="24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231F20"/>
                <w:w w:val="98"/>
              </w:rPr>
              <w:t>amount</w:t>
            </w:r>
          </w:p>
        </w:tc>
        <w:tc>
          <w:tcPr>
            <w:tcW w:w="17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231F20"/>
                <w:w w:val="98"/>
              </w:rPr>
              <w:t>31, 2026</w:t>
            </w:r>
          </w:p>
        </w:tc>
        <w:tc>
          <w:tcPr>
            <w:tcW w:w="17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31F20"/>
                <w:w w:val="98"/>
              </w:rPr>
              <w:t>amount</w:t>
            </w:r>
          </w:p>
        </w:tc>
      </w:tr>
      <w:tr>
        <w:trPr>
          <w:trHeight w:val="238"/>
        </w:trPr>
        <w:tc>
          <w:tcPr>
            <w:tcW w:w="10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231F20"/>
                <w:w w:val="99"/>
              </w:rPr>
              <w:t>Annual cap</w:t>
            </w:r>
          </w:p>
        </w:tc>
        <w:tc>
          <w:tcPr>
            <w:tcW w:w="248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b w:val="1"/>
                <w:bCs w:val="1"/>
                <w:color w:val="231F20"/>
                <w:w w:val="99"/>
              </w:rPr>
              <w:t>(Audited)</w:t>
            </w:r>
          </w:p>
        </w:tc>
        <w:tc>
          <w:tcPr>
            <w:tcW w:w="170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b w:val="1"/>
                <w:bCs w:val="1"/>
                <w:color w:val="231F20"/>
              </w:rPr>
              <w:t>Annual cap</w:t>
            </w:r>
          </w:p>
        </w:tc>
        <w:tc>
          <w:tcPr>
            <w:tcW w:w="17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231F20"/>
              </w:rPr>
              <w:t>(Unaudited)</w:t>
            </w:r>
          </w:p>
        </w:tc>
      </w:tr>
      <w:tr>
        <w:trPr>
          <w:trHeight w:val="210"/>
        </w:trPr>
        <w:tc>
          <w:tcPr>
            <w:tcW w:w="10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(RMB million)</w:t>
            </w:r>
          </w:p>
        </w:tc>
        <w:tc>
          <w:tcPr>
            <w:tcW w:w="17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8"/>
        </w:trPr>
        <w:tc>
          <w:tcPr>
            <w:tcW w:w="1020" w:type="dxa"/>
            <w:vAlign w:val="bottom"/>
          </w:tcPr>
          <w:p>
            <w:pPr>
              <w:spacing w:after="0"/>
              <w:rPr>
                <w:sz w:val="17"/>
                <w:szCs w:val="17"/>
                <w:color w:val="auto"/>
              </w:rPr>
            </w:pPr>
          </w:p>
        </w:tc>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31F20"/>
              </w:rPr>
              <w:t>Fees payable by the Group</w:t>
            </w:r>
          </w:p>
        </w:tc>
        <w:tc>
          <w:tcPr>
            <w:tcW w:w="2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to the Xiaomi</w:t>
            </w:r>
          </w:p>
        </w:tc>
        <w:tc>
          <w:tcPr>
            <w:tcW w:w="2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Corporation for IDC</w:t>
            </w:r>
          </w:p>
        </w:tc>
        <w:tc>
          <w:tcPr>
            <w:tcW w:w="2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services</w:t>
            </w:r>
          </w:p>
        </w:tc>
        <w:tc>
          <w:tcPr>
            <w:tcW w:w="2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231F20"/>
              </w:rPr>
              <w:t>41.0</w:t>
            </w:r>
          </w:p>
        </w:tc>
        <w:tc>
          <w:tcPr>
            <w:tcW w:w="24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231F20"/>
              </w:rPr>
              <w:t>17.2</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rPr>
              <w:t>82.0</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14.1</w:t>
            </w:r>
          </w:p>
        </w:tc>
      </w:tr>
      <w:tr>
        <w:trPr>
          <w:trHeight w:val="648"/>
        </w:trPr>
        <w:tc>
          <w:tcPr>
            <w:tcW w:w="10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1950"/>
              <w:spacing w:after="0"/>
              <w:rPr>
                <w:sz w:val="20"/>
                <w:szCs w:val="20"/>
                <w:color w:val="auto"/>
              </w:rPr>
            </w:pPr>
            <w:r>
              <w:rPr>
                <w:rFonts w:ascii="Times New Roman" w:cs="Times New Roman" w:eastAsia="Times New Roman" w:hAnsi="Times New Roman"/>
                <w:sz w:val="18"/>
                <w:szCs w:val="18"/>
                <w:color w:val="auto"/>
              </w:rPr>
              <w:t>11</w:t>
            </w:r>
          </w:p>
        </w:tc>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14" w:name="page15"/>
    <w:bookmarkEnd w:id="14"/>
    <w:p>
      <w:pPr>
        <w:ind w:left="540"/>
        <w:spacing w:after="0"/>
        <w:rPr>
          <w:sz w:val="20"/>
          <w:szCs w:val="20"/>
          <w:color w:val="auto"/>
        </w:rPr>
      </w:pPr>
      <w:r>
        <w:rPr>
          <w:rFonts w:ascii="Times New Roman" w:cs="Times New Roman" w:eastAsia="Times New Roman" w:hAnsi="Times New Roman"/>
          <w:sz w:val="18"/>
          <w:szCs w:val="18"/>
          <w:b w:val="1"/>
          <w:bCs w:val="1"/>
          <w:color w:val="231F20"/>
        </w:rPr>
        <w:t>(ii)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b w:val="1"/>
          <w:bCs w:val="1"/>
          <w:color w:val="231F20"/>
        </w:rPr>
        <w:t>in respect of hardware equipment</w:t>
      </w:r>
    </w:p>
    <w:p>
      <w:pPr>
        <w:spacing w:after="0" w:line="229" w:lineRule="exact"/>
        <w:rPr>
          <w:sz w:val="20"/>
          <w:szCs w:val="20"/>
          <w:color w:val="auto"/>
        </w:rPr>
      </w:pPr>
    </w:p>
    <w:p>
      <w:pPr>
        <w:jc w:val="both"/>
        <w:ind w:left="1040" w:right="20"/>
        <w:spacing w:after="0" w:line="266" w:lineRule="auto"/>
        <w:rPr>
          <w:sz w:val="20"/>
          <w:szCs w:val="20"/>
          <w:color w:val="auto"/>
        </w:rPr>
      </w:pPr>
      <w:r>
        <w:rPr>
          <w:rFonts w:ascii="Times New Roman" w:cs="Times New Roman" w:eastAsia="Times New Roman" w:hAnsi="Times New Roman"/>
          <w:sz w:val="18"/>
          <w:szCs w:val="18"/>
          <w:color w:val="231F20"/>
        </w:rPr>
        <w:t>The table below sets out the annual caps for the procurement of hardware equipment under the 2025 Xiaomi Cooperation Framework Agreement for the period from July 29, 2025 to July 28, 2026, and the historical amounts for the period from July 29, 2025 to December 31, 2025 and for the period from January 1, 2026 to the date of this announcement:</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231F20"/>
              </w:rPr>
              <w:t>For the period</w:t>
            </w:r>
          </w:p>
        </w:tc>
        <w:tc>
          <w:tcPr>
            <w:tcW w:w="2040" w:type="dxa"/>
            <w:vAlign w:val="bottom"/>
          </w:tcPr>
          <w:p>
            <w:pPr>
              <w:spacing w:after="0"/>
              <w:rPr>
                <w:sz w:val="18"/>
                <w:szCs w:val="18"/>
                <w:color w:val="auto"/>
              </w:rPr>
            </w:pPr>
          </w:p>
        </w:tc>
        <w:tc>
          <w:tcPr>
            <w:tcW w:w="1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231F20"/>
              </w:rPr>
              <w:t>From</w:t>
            </w:r>
          </w:p>
        </w:tc>
      </w:tr>
      <w:tr>
        <w:trPr>
          <w:trHeight w:val="216"/>
        </w:trPr>
        <w:tc>
          <w:tcPr>
            <w:tcW w:w="2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231F20"/>
              </w:rPr>
              <w:t>from July</w:t>
            </w:r>
          </w:p>
        </w:tc>
        <w:tc>
          <w:tcPr>
            <w:tcW w:w="20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January 1,</w:t>
            </w:r>
          </w:p>
        </w:tc>
      </w:tr>
      <w:tr>
        <w:trPr>
          <w:trHeight w:val="216"/>
        </w:trPr>
        <w:tc>
          <w:tcPr>
            <w:tcW w:w="2160" w:type="dxa"/>
            <w:vAlign w:val="bottom"/>
          </w:tcPr>
          <w:p>
            <w:pPr>
              <w:spacing w:after="0"/>
              <w:rPr>
                <w:sz w:val="18"/>
                <w:szCs w:val="18"/>
                <w:color w:val="auto"/>
              </w:rPr>
            </w:pPr>
          </w:p>
        </w:tc>
        <w:tc>
          <w:tcPr>
            <w:tcW w:w="2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231F20"/>
                <w:w w:val="99"/>
              </w:rPr>
              <w:t>For the period</w:t>
            </w:r>
          </w:p>
        </w:tc>
        <w:tc>
          <w:tcPr>
            <w:tcW w:w="20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231F20"/>
              </w:rPr>
              <w:t>29, 2025</w:t>
            </w:r>
          </w:p>
        </w:tc>
        <w:tc>
          <w:tcPr>
            <w:tcW w:w="20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231F20"/>
                <w:w w:val="99"/>
              </w:rPr>
              <w:t>For the period</w:t>
            </w:r>
          </w:p>
        </w:tc>
        <w:tc>
          <w:tcPr>
            <w:tcW w:w="1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231F20"/>
                <w:w w:val="99"/>
              </w:rPr>
              <w:t>2026 up to</w:t>
            </w:r>
          </w:p>
        </w:tc>
      </w:tr>
      <w:tr>
        <w:trPr>
          <w:trHeight w:val="216"/>
        </w:trPr>
        <w:tc>
          <w:tcPr>
            <w:tcW w:w="2160" w:type="dxa"/>
            <w:vAlign w:val="bottom"/>
          </w:tcPr>
          <w:p>
            <w:pPr>
              <w:spacing w:after="0"/>
              <w:rPr>
                <w:sz w:val="18"/>
                <w:szCs w:val="18"/>
                <w:color w:val="auto"/>
              </w:rPr>
            </w:pPr>
          </w:p>
        </w:tc>
        <w:tc>
          <w:tcPr>
            <w:tcW w:w="2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231F20"/>
                <w:w w:val="97"/>
              </w:rPr>
              <w:t>from July</w:t>
            </w:r>
          </w:p>
        </w:tc>
        <w:tc>
          <w:tcPr>
            <w:tcW w:w="2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231F20"/>
              </w:rPr>
              <w:t>to December</w:t>
            </w:r>
          </w:p>
        </w:tc>
        <w:tc>
          <w:tcPr>
            <w:tcW w:w="20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231F20"/>
                <w:w w:val="99"/>
              </w:rPr>
              <w:t>from January</w:t>
            </w:r>
          </w:p>
        </w:tc>
        <w:tc>
          <w:tcPr>
            <w:tcW w:w="1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231F20"/>
                <w:w w:val="98"/>
              </w:rPr>
              <w:t>the date of this</w:t>
            </w:r>
          </w:p>
        </w:tc>
      </w:tr>
      <w:tr>
        <w:trPr>
          <w:trHeight w:val="216"/>
        </w:trPr>
        <w:tc>
          <w:tcPr>
            <w:tcW w:w="2160" w:type="dxa"/>
            <w:vAlign w:val="bottom"/>
          </w:tcPr>
          <w:p>
            <w:pPr>
              <w:spacing w:after="0"/>
              <w:rPr>
                <w:sz w:val="18"/>
                <w:szCs w:val="18"/>
                <w:color w:val="auto"/>
              </w:rPr>
            </w:pPr>
          </w:p>
        </w:tc>
        <w:tc>
          <w:tcPr>
            <w:tcW w:w="2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231F20"/>
                <w:w w:val="98"/>
              </w:rPr>
              <w:t>29, 2025</w:t>
            </w:r>
          </w:p>
        </w:tc>
        <w:tc>
          <w:tcPr>
            <w:tcW w:w="20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231F20"/>
              </w:rPr>
              <w:t>31, 2025</w:t>
            </w:r>
          </w:p>
        </w:tc>
        <w:tc>
          <w:tcPr>
            <w:tcW w:w="20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231F20"/>
              </w:rPr>
              <w:t>1, 2026</w:t>
            </w:r>
          </w:p>
        </w:tc>
        <w:tc>
          <w:tcPr>
            <w:tcW w:w="1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231F20"/>
                <w:w w:val="99"/>
              </w:rPr>
              <w:t>announcement</w:t>
            </w:r>
          </w:p>
        </w:tc>
      </w:tr>
      <w:tr>
        <w:trPr>
          <w:trHeight w:val="216"/>
        </w:trPr>
        <w:tc>
          <w:tcPr>
            <w:tcW w:w="2160" w:type="dxa"/>
            <w:vAlign w:val="bottom"/>
          </w:tcPr>
          <w:p>
            <w:pPr>
              <w:spacing w:after="0"/>
              <w:rPr>
                <w:sz w:val="18"/>
                <w:szCs w:val="18"/>
                <w:color w:val="auto"/>
              </w:rPr>
            </w:pPr>
          </w:p>
        </w:tc>
        <w:tc>
          <w:tcPr>
            <w:tcW w:w="2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231F20"/>
              </w:rPr>
              <w:t>to December</w:t>
            </w:r>
          </w:p>
        </w:tc>
        <w:tc>
          <w:tcPr>
            <w:tcW w:w="20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231F20"/>
                <w:w w:val="99"/>
              </w:rPr>
              <w:t>Historical</w:t>
            </w:r>
          </w:p>
        </w:tc>
        <w:tc>
          <w:tcPr>
            <w:tcW w:w="20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231F20"/>
                <w:w w:val="98"/>
              </w:rPr>
              <w:t>to July</w:t>
            </w:r>
          </w:p>
        </w:tc>
        <w:tc>
          <w:tcPr>
            <w:tcW w:w="1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231F20"/>
                <w:w w:val="99"/>
              </w:rPr>
              <w:t>Historical</w:t>
            </w:r>
          </w:p>
        </w:tc>
      </w:tr>
      <w:tr>
        <w:trPr>
          <w:trHeight w:val="230"/>
        </w:trPr>
        <w:tc>
          <w:tcPr>
            <w:tcW w:w="2160" w:type="dxa"/>
            <w:vAlign w:val="bottom"/>
          </w:tcPr>
          <w:p>
            <w:pPr>
              <w:spacing w:after="0"/>
              <w:rPr>
                <w:sz w:val="19"/>
                <w:szCs w:val="19"/>
                <w:color w:val="auto"/>
              </w:rPr>
            </w:pPr>
          </w:p>
        </w:tc>
        <w:tc>
          <w:tcPr>
            <w:tcW w:w="2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231F20"/>
                <w:w w:val="98"/>
              </w:rPr>
              <w:t>31, 2025</w:t>
            </w:r>
          </w:p>
        </w:tc>
        <w:tc>
          <w:tcPr>
            <w:tcW w:w="20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231F20"/>
              </w:rPr>
              <w:t>amount</w:t>
            </w:r>
          </w:p>
        </w:tc>
        <w:tc>
          <w:tcPr>
            <w:tcW w:w="20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231F20"/>
              </w:rPr>
              <w:t>28, 2026</w:t>
            </w:r>
          </w:p>
        </w:tc>
        <w:tc>
          <w:tcPr>
            <w:tcW w:w="1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231F20"/>
              </w:rPr>
              <w:t>amount</w:t>
            </w:r>
          </w:p>
        </w:tc>
      </w:tr>
      <w:tr>
        <w:trPr>
          <w:trHeight w:val="238"/>
        </w:trPr>
        <w:tc>
          <w:tcPr>
            <w:tcW w:w="2160" w:type="dxa"/>
            <w:vAlign w:val="bottom"/>
          </w:tcPr>
          <w:p>
            <w:pPr>
              <w:spacing w:after="0"/>
              <w:rPr>
                <w:sz w:val="20"/>
                <w:szCs w:val="20"/>
                <w:color w:val="auto"/>
              </w:rPr>
            </w:pPr>
          </w:p>
        </w:tc>
        <w:tc>
          <w:tcPr>
            <w:tcW w:w="21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231F20"/>
              </w:rPr>
              <w:t>Annual cap</w:t>
            </w:r>
          </w:p>
        </w:tc>
        <w:tc>
          <w:tcPr>
            <w:tcW w:w="20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231F20"/>
                <w:w w:val="99"/>
              </w:rPr>
              <w:t>(Audited)</w:t>
            </w:r>
          </w:p>
        </w:tc>
        <w:tc>
          <w:tcPr>
            <w:tcW w:w="20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231F20"/>
                <w:w w:val="99"/>
              </w:rPr>
              <w:t>Annual cap</w:t>
            </w:r>
          </w:p>
        </w:tc>
        <w:tc>
          <w:tcPr>
            <w:tcW w:w="1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231F20"/>
                <w:w w:val="98"/>
              </w:rPr>
              <w:t>(Unaudited)</w:t>
            </w:r>
          </w:p>
        </w:tc>
      </w:tr>
      <w:tr>
        <w:trPr>
          <w:trHeight w:val="209"/>
        </w:trPr>
        <w:tc>
          <w:tcPr>
            <w:tcW w:w="2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0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i w:val="1"/>
                <w:iCs w:val="1"/>
                <w:color w:val="auto"/>
              </w:rPr>
              <w:t>(RMB million)</w:t>
            </w:r>
          </w:p>
        </w:tc>
        <w:tc>
          <w:tcPr>
            <w:tcW w:w="1820" w:type="dxa"/>
            <w:vAlign w:val="bottom"/>
          </w:tcPr>
          <w:p>
            <w:pPr>
              <w:spacing w:after="0"/>
              <w:rPr>
                <w:sz w:val="18"/>
                <w:szCs w:val="18"/>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31F20"/>
              </w:rPr>
              <w:t>Fees payable by the Group</w:t>
            </w:r>
          </w:p>
        </w:tc>
        <w:tc>
          <w:tcPr>
            <w:tcW w:w="21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to the Xiaomi</w:t>
            </w:r>
          </w:p>
        </w:tc>
        <w:tc>
          <w:tcPr>
            <w:tcW w:w="2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6"/>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Corporation for hardware</w:t>
            </w:r>
          </w:p>
        </w:tc>
        <w:tc>
          <w:tcPr>
            <w:tcW w:w="2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equipment</w:t>
            </w:r>
          </w:p>
        </w:tc>
        <w:tc>
          <w:tcPr>
            <w:tcW w:w="2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33.5</w:t>
            </w:r>
          </w:p>
        </w:tc>
        <w:tc>
          <w:tcPr>
            <w:tcW w:w="2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29.6</w:t>
            </w:r>
          </w:p>
        </w:tc>
        <w:tc>
          <w:tcPr>
            <w:tcW w:w="2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6.7</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w:t>
            </w:r>
          </w:p>
        </w:tc>
      </w:tr>
    </w:tbl>
    <w:p>
      <w:pPr>
        <w:spacing w:after="0" w:line="196"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Proposed revised annual caps and/or proposed annual caps</w:t>
      </w:r>
    </w:p>
    <w:p>
      <w:pPr>
        <w:spacing w:after="0" w:line="223" w:lineRule="exact"/>
        <w:rPr>
          <w:rFonts w:ascii="Times New Roman" w:cs="Times New Roman" w:eastAsia="Times New Roman" w:hAnsi="Times New Roman"/>
          <w:sz w:val="18"/>
          <w:szCs w:val="18"/>
          <w:i w:val="1"/>
          <w:iCs w:val="1"/>
          <w:color w:val="231F20"/>
        </w:rPr>
      </w:pPr>
    </w:p>
    <w:p>
      <w:pPr>
        <w:ind w:left="1040" w:hanging="506"/>
        <w:spacing w:after="0"/>
        <w:tabs>
          <w:tab w:leader="none" w:pos="1040" w:val="left"/>
        </w:tabs>
        <w:numPr>
          <w:ilvl w:val="1"/>
          <w:numId w:val="17"/>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in respect of IDC services</w:t>
      </w:r>
    </w:p>
    <w:p>
      <w:pPr>
        <w:spacing w:after="0" w:line="229" w:lineRule="exact"/>
        <w:rPr>
          <w:rFonts w:ascii="Times New Roman" w:cs="Times New Roman" w:eastAsia="Times New Roman" w:hAnsi="Times New Roman"/>
          <w:sz w:val="18"/>
          <w:szCs w:val="18"/>
          <w:b w:val="1"/>
          <w:bCs w:val="1"/>
          <w:color w:val="231F20"/>
        </w:rPr>
      </w:pPr>
    </w:p>
    <w:p>
      <w:pPr>
        <w:ind w:left="1040" w:right="2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The following table sets out the existing and proposed revised annual caps for the procurement of IDC services under the 2025 Xiaomi Cooperation Framework Agreement for the two years of 2026 and 2027:</w:t>
      </w:r>
    </w:p>
    <w:p>
      <w:pPr>
        <w:spacing w:after="0" w:line="158"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231F20"/>
              </w:rPr>
              <w:t>For the</w:t>
            </w:r>
          </w:p>
        </w:tc>
        <w:tc>
          <w:tcPr>
            <w:tcW w:w="1760" w:type="dxa"/>
            <w:vAlign w:val="bottom"/>
          </w:tcPr>
          <w:p>
            <w:pPr>
              <w:spacing w:after="0"/>
              <w:rPr>
                <w:sz w:val="18"/>
                <w:szCs w:val="18"/>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231F20"/>
                <w:w w:val="99"/>
              </w:rPr>
              <w:t>For the</w:t>
            </w:r>
          </w:p>
        </w:tc>
      </w:tr>
      <w:tr>
        <w:trPr>
          <w:trHeight w:val="216"/>
        </w:trPr>
        <w:tc>
          <w:tcPr>
            <w:tcW w:w="2160" w:type="dxa"/>
            <w:vAlign w:val="bottom"/>
          </w:tcPr>
          <w:p>
            <w:pPr>
              <w:spacing w:after="0"/>
              <w:rPr>
                <w:sz w:val="18"/>
                <w:szCs w:val="18"/>
                <w:color w:val="auto"/>
              </w:rPr>
            </w:pPr>
          </w:p>
        </w:tc>
        <w:tc>
          <w:tcPr>
            <w:tcW w:w="22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231F20"/>
                <w:w w:val="99"/>
              </w:rPr>
              <w:t>For the</w:t>
            </w:r>
          </w:p>
        </w:tc>
        <w:tc>
          <w:tcPr>
            <w:tcW w:w="23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231F20"/>
                <w:w w:val="99"/>
              </w:rPr>
              <w:t>year ending</w:t>
            </w:r>
          </w:p>
        </w:tc>
        <w:tc>
          <w:tcPr>
            <w:tcW w:w="176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231F20"/>
                <w:w w:val="99"/>
              </w:rPr>
              <w:t>For the</w:t>
            </w: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231F20"/>
              </w:rPr>
              <w:t>year ending</w:t>
            </w:r>
          </w:p>
        </w:tc>
      </w:tr>
      <w:tr>
        <w:trPr>
          <w:trHeight w:val="216"/>
        </w:trPr>
        <w:tc>
          <w:tcPr>
            <w:tcW w:w="2160" w:type="dxa"/>
            <w:vAlign w:val="bottom"/>
          </w:tcPr>
          <w:p>
            <w:pPr>
              <w:spacing w:after="0"/>
              <w:rPr>
                <w:sz w:val="18"/>
                <w:szCs w:val="18"/>
                <w:color w:val="auto"/>
              </w:rPr>
            </w:pPr>
          </w:p>
        </w:tc>
        <w:tc>
          <w:tcPr>
            <w:tcW w:w="22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231F20"/>
                <w:w w:val="99"/>
              </w:rPr>
              <w:t>year ending</w:t>
            </w:r>
          </w:p>
        </w:tc>
        <w:tc>
          <w:tcPr>
            <w:tcW w:w="23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231F20"/>
                <w:w w:val="99"/>
              </w:rPr>
              <w:t>December</w:t>
            </w:r>
          </w:p>
        </w:tc>
        <w:tc>
          <w:tcPr>
            <w:tcW w:w="176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231F20"/>
                <w:w w:val="99"/>
              </w:rPr>
              <w:t>year ending</w:t>
            </w:r>
          </w:p>
        </w:tc>
        <w:tc>
          <w:tcPr>
            <w:tcW w:w="17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231F20"/>
                <w:w w:val="99"/>
              </w:rPr>
              <w:t>December</w:t>
            </w:r>
          </w:p>
        </w:tc>
      </w:tr>
      <w:tr>
        <w:trPr>
          <w:trHeight w:val="216"/>
        </w:trPr>
        <w:tc>
          <w:tcPr>
            <w:tcW w:w="2160" w:type="dxa"/>
            <w:vAlign w:val="bottom"/>
          </w:tcPr>
          <w:p>
            <w:pPr>
              <w:spacing w:after="0"/>
              <w:rPr>
                <w:sz w:val="18"/>
                <w:szCs w:val="18"/>
                <w:color w:val="auto"/>
              </w:rPr>
            </w:pPr>
          </w:p>
        </w:tc>
        <w:tc>
          <w:tcPr>
            <w:tcW w:w="22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231F20"/>
                <w:w w:val="99"/>
              </w:rPr>
              <w:t>December</w:t>
            </w:r>
          </w:p>
        </w:tc>
        <w:tc>
          <w:tcPr>
            <w:tcW w:w="23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231F20"/>
                <w:w w:val="99"/>
              </w:rPr>
              <w:t>31,2026</w:t>
            </w:r>
          </w:p>
        </w:tc>
        <w:tc>
          <w:tcPr>
            <w:tcW w:w="176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231F20"/>
                <w:w w:val="99"/>
              </w:rPr>
              <w:t>December</w:t>
            </w: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231F20"/>
              </w:rPr>
              <w:t>31, 2027</w:t>
            </w:r>
          </w:p>
        </w:tc>
      </w:tr>
      <w:tr>
        <w:trPr>
          <w:trHeight w:val="216"/>
        </w:trPr>
        <w:tc>
          <w:tcPr>
            <w:tcW w:w="2160" w:type="dxa"/>
            <w:vAlign w:val="bottom"/>
          </w:tcPr>
          <w:p>
            <w:pPr>
              <w:spacing w:after="0"/>
              <w:rPr>
                <w:sz w:val="18"/>
                <w:szCs w:val="18"/>
                <w:color w:val="auto"/>
              </w:rPr>
            </w:pPr>
          </w:p>
        </w:tc>
        <w:tc>
          <w:tcPr>
            <w:tcW w:w="22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231F20"/>
              </w:rPr>
              <w:t>31, 2026</w:t>
            </w:r>
          </w:p>
        </w:tc>
        <w:tc>
          <w:tcPr>
            <w:tcW w:w="23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231F20"/>
                <w:w w:val="97"/>
              </w:rPr>
              <w:t>Proposed</w:t>
            </w:r>
          </w:p>
        </w:tc>
        <w:tc>
          <w:tcPr>
            <w:tcW w:w="176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231F20"/>
                <w:w w:val="98"/>
              </w:rPr>
              <w:t>31, 2027</w:t>
            </w: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231F20"/>
                <w:w w:val="99"/>
              </w:rPr>
              <w:t>Proposed</w:t>
            </w:r>
          </w:p>
        </w:tc>
      </w:tr>
      <w:tr>
        <w:trPr>
          <w:trHeight w:val="230"/>
        </w:trPr>
        <w:tc>
          <w:tcPr>
            <w:tcW w:w="2160" w:type="dxa"/>
            <w:vAlign w:val="bottom"/>
          </w:tcPr>
          <w:p>
            <w:pPr>
              <w:spacing w:after="0"/>
              <w:rPr>
                <w:sz w:val="19"/>
                <w:szCs w:val="19"/>
                <w:color w:val="auto"/>
              </w:rPr>
            </w:pPr>
          </w:p>
        </w:tc>
        <w:tc>
          <w:tcPr>
            <w:tcW w:w="22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231F20"/>
                <w:w w:val="98"/>
              </w:rPr>
              <w:t>Original</w:t>
            </w:r>
          </w:p>
        </w:tc>
        <w:tc>
          <w:tcPr>
            <w:tcW w:w="23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231F20"/>
                <w:w w:val="98"/>
              </w:rPr>
              <w:t>revised</w:t>
            </w:r>
          </w:p>
        </w:tc>
        <w:tc>
          <w:tcPr>
            <w:tcW w:w="176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231F20"/>
              </w:rPr>
              <w:t>Original</w:t>
            </w: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231F20"/>
              </w:rPr>
              <w:t>revised</w:t>
            </w:r>
          </w:p>
        </w:tc>
      </w:tr>
      <w:tr>
        <w:trPr>
          <w:trHeight w:val="238"/>
        </w:trPr>
        <w:tc>
          <w:tcPr>
            <w:tcW w:w="2160" w:type="dxa"/>
            <w:vAlign w:val="bottom"/>
          </w:tcPr>
          <w:p>
            <w:pPr>
              <w:spacing w:after="0"/>
              <w:rPr>
                <w:sz w:val="20"/>
                <w:szCs w:val="20"/>
                <w:color w:val="auto"/>
              </w:rPr>
            </w:pPr>
          </w:p>
        </w:tc>
        <w:tc>
          <w:tcPr>
            <w:tcW w:w="22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231F20"/>
                <w:w w:val="99"/>
              </w:rPr>
              <w:t>annual cap</w:t>
            </w:r>
          </w:p>
        </w:tc>
        <w:tc>
          <w:tcPr>
            <w:tcW w:w="2320" w:type="dxa"/>
            <w:vAlign w:val="bottom"/>
            <w:tcBorders>
              <w:bottom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b w:val="1"/>
                <w:bCs w:val="1"/>
                <w:color w:val="231F20"/>
              </w:rPr>
              <w:t>annual cap</w:t>
            </w:r>
          </w:p>
        </w:tc>
        <w:tc>
          <w:tcPr>
            <w:tcW w:w="176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b w:val="1"/>
                <w:bCs w:val="1"/>
                <w:color w:val="231F20"/>
                <w:w w:val="99"/>
              </w:rPr>
              <w:t>annual cap</w:t>
            </w:r>
          </w:p>
        </w:tc>
        <w:tc>
          <w:tcPr>
            <w:tcW w:w="17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231F20"/>
                <w:w w:val="99"/>
              </w:rPr>
              <w:t>annual cap</w:t>
            </w:r>
          </w:p>
        </w:tc>
      </w:tr>
      <w:tr>
        <w:trPr>
          <w:trHeight w:val="210"/>
        </w:trPr>
        <w:tc>
          <w:tcPr>
            <w:tcW w:w="2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(RMB million)</w:t>
            </w: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31F20"/>
              </w:rPr>
              <w:t>Fees payable by the Group</w:t>
            </w:r>
          </w:p>
        </w:tc>
        <w:tc>
          <w:tcPr>
            <w:tcW w:w="22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to the Xiaomi</w:t>
            </w:r>
          </w:p>
        </w:tc>
        <w:tc>
          <w:tcPr>
            <w:tcW w:w="22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Corporation for IDC</w:t>
            </w:r>
          </w:p>
        </w:tc>
        <w:tc>
          <w:tcPr>
            <w:tcW w:w="22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services</w:t>
            </w:r>
          </w:p>
        </w:tc>
        <w:tc>
          <w:tcPr>
            <w:tcW w:w="2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231F20"/>
              </w:rPr>
              <w:t>82.0</w:t>
            </w:r>
          </w:p>
        </w:tc>
        <w:tc>
          <w:tcPr>
            <w:tcW w:w="23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rPr>
              <w:t>82.0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150.0</w:t>
            </w:r>
          </w:p>
        </w:tc>
      </w:tr>
    </w:tbl>
    <w:p>
      <w:pPr>
        <w:spacing w:after="0" w:line="198" w:lineRule="exact"/>
        <w:rPr>
          <w:sz w:val="20"/>
          <w:szCs w:val="20"/>
          <w:color w:val="auto"/>
        </w:rPr>
      </w:pPr>
    </w:p>
    <w:p>
      <w:pPr>
        <w:jc w:val="both"/>
        <w:ind w:left="1040" w:right="20"/>
        <w:spacing w:after="0" w:line="266" w:lineRule="auto"/>
        <w:rPr>
          <w:sz w:val="20"/>
          <w:szCs w:val="20"/>
          <w:color w:val="auto"/>
        </w:rPr>
      </w:pPr>
      <w:r>
        <w:rPr>
          <w:rFonts w:ascii="Times New Roman" w:cs="Times New Roman" w:eastAsia="Times New Roman" w:hAnsi="Times New Roman"/>
          <w:sz w:val="18"/>
          <w:szCs w:val="18"/>
          <w:color w:val="231F20"/>
        </w:rPr>
        <w:t>The proposed revised annual caps for the fees payable by the Group in respect of IDC services for the two years ending December 31, 2027 are determined with reference to, among other things, the following factors, with an additional buffer of a certain percentage on top to provide for operational flexibility and cater for any potential increment in the transaction volume:</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00" w:right="319" w:bottom="1440" w:gutter="0" w:footer="0" w:header="0"/>
        </w:sectPr>
      </w:pPr>
    </w:p>
    <w:bookmarkStart w:id="15" w:name="page16"/>
    <w:bookmarkEnd w:id="15"/>
    <w:p>
      <w:pPr>
        <w:jc w:val="both"/>
        <w:ind w:left="506" w:right="20"/>
        <w:spacing w:after="0" w:line="254" w:lineRule="auto"/>
        <w:rPr>
          <w:sz w:val="20"/>
          <w:szCs w:val="20"/>
          <w:color w:val="auto"/>
        </w:rPr>
      </w:pPr>
      <w:r>
        <w:rPr>
          <w:rFonts w:ascii="Times New Roman" w:cs="Times New Roman" w:eastAsia="Times New Roman" w:hAnsi="Times New Roman"/>
          <w:sz w:val="18"/>
          <w:szCs w:val="18"/>
          <w:color w:val="231F20"/>
        </w:rPr>
        <w:t>The proposed revised annual caps for the two years ending December 31, 2027 in relation to the procurement of IDC services were determined with reference to, among other things: (i) the historical transaction amount for the year ended December 31, 2025; (ii) the Group’s current and estimated increasing demand for IDC-related services arising from the expected business development and expansion in cloud services and artificial intelligence infrastructure. It is expected that the fees payable for the procurement of IDC-related services in 2026 will be approximately RMB90 million, and the Group’s demand for such procurement is expected to continue its growth trend in 2027;</w:t>
      </w:r>
    </w:p>
    <w:p>
      <w:pPr>
        <w:spacing w:after="0" w:line="3" w:lineRule="exact"/>
        <w:rPr>
          <w:sz w:val="20"/>
          <w:szCs w:val="20"/>
          <w:color w:val="auto"/>
        </w:rPr>
      </w:pPr>
    </w:p>
    <w:p>
      <w:pPr>
        <w:ind w:left="506" w:right="40" w:firstLine="4"/>
        <w:spacing w:after="0" w:line="260" w:lineRule="auto"/>
        <w:tabs>
          <w:tab w:leader="none" w:pos="829"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prevailing market prices for similar IDC services; and (iv) the pricing principles agreed between the parties under the 2025 Xiaomi Cooperation Framework Agreement.</w:t>
      </w:r>
    </w:p>
    <w:p>
      <w:pPr>
        <w:spacing w:after="0" w:line="181" w:lineRule="exact"/>
        <w:rPr>
          <w:sz w:val="20"/>
          <w:szCs w:val="20"/>
          <w:color w:val="auto"/>
        </w:rPr>
      </w:pPr>
    </w:p>
    <w:p>
      <w:pPr>
        <w:jc w:val="both"/>
        <w:ind w:left="506" w:right="20"/>
        <w:spacing w:after="0" w:line="266" w:lineRule="auto"/>
        <w:rPr>
          <w:sz w:val="20"/>
          <w:szCs w:val="20"/>
          <w:color w:val="auto"/>
        </w:rPr>
      </w:pPr>
      <w:r>
        <w:rPr>
          <w:rFonts w:ascii="Times New Roman" w:cs="Times New Roman" w:eastAsia="Times New Roman" w:hAnsi="Times New Roman"/>
          <w:sz w:val="18"/>
          <w:szCs w:val="18"/>
          <w:color w:val="231F20"/>
        </w:rPr>
        <w:t>For other reference factors regarding the basis for determining the proposed revised annual caps, please refer to the section headed “Reasons for and Benefits of the Proposed Revised Annual Caps and/or Proposed Annual Caps for IDC Services, Hardware Equipment and API Services” in this announcement.</w:t>
      </w:r>
    </w:p>
    <w:p>
      <w:pPr>
        <w:spacing w:after="0" w:line="172" w:lineRule="exact"/>
        <w:rPr>
          <w:sz w:val="20"/>
          <w:szCs w:val="20"/>
          <w:color w:val="auto"/>
        </w:rPr>
      </w:pPr>
    </w:p>
    <w:p>
      <w:pPr>
        <w:ind w:left="506" w:hanging="506"/>
        <w:spacing w:after="0"/>
        <w:tabs>
          <w:tab w:leader="none" w:pos="506" w:val="left"/>
        </w:tabs>
        <w:numPr>
          <w:ilvl w:val="0"/>
          <w:numId w:val="1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in respect of hardware equipment</w:t>
      </w:r>
    </w:p>
    <w:p>
      <w:pPr>
        <w:spacing w:after="0" w:line="229" w:lineRule="exact"/>
        <w:rPr>
          <w:rFonts w:ascii="Times New Roman" w:cs="Times New Roman" w:eastAsia="Times New Roman" w:hAnsi="Times New Roman"/>
          <w:sz w:val="18"/>
          <w:szCs w:val="18"/>
          <w:b w:val="1"/>
          <w:bCs w:val="1"/>
          <w:color w:val="231F20"/>
        </w:rPr>
      </w:pPr>
    </w:p>
    <w:p>
      <w:pPr>
        <w:jc w:val="both"/>
        <w:ind w:left="506" w:right="20"/>
        <w:spacing w:after="0" w:line="266"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The table below sets out the existing and proposed revised annual cap for the procurement of hardware equipment under the 2025 Xiaomi Cooperation Framework Agreement for the period from January 1, 2026 to July 28, 2026, and the proposed annual cap for the procurement of hardware equipment under the 2025 Xiaomi Cooperation Framework Agreement for the year 2027:</w:t>
      </w:r>
    </w:p>
    <w:p>
      <w:pPr>
        <w:spacing w:after="0" w:line="172" w:lineRule="exact"/>
        <w:rPr>
          <w:sz w:val="20"/>
          <w:szCs w:val="20"/>
          <w:color w:val="auto"/>
        </w:rPr>
      </w:pPr>
    </w:p>
    <w:tbl>
      <w:tblPr>
        <w:tblLayout w:type="fixed"/>
        <w:tblInd w:w="506"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231F20"/>
                <w:w w:val="98"/>
              </w:rPr>
              <w:t>For the year</w:t>
            </w:r>
          </w:p>
        </w:tc>
        <w:tc>
          <w:tcPr>
            <w:tcW w:w="204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1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231F20"/>
                <w:w w:val="99"/>
              </w:rPr>
              <w:t>For the period</w:t>
            </w:r>
          </w:p>
        </w:tc>
        <w:tc>
          <w:tcPr>
            <w:tcW w:w="780" w:type="dxa"/>
            <w:vAlign w:val="bottom"/>
          </w:tcPr>
          <w:p>
            <w:pPr>
              <w:spacing w:after="0"/>
              <w:rPr>
                <w:sz w:val="18"/>
                <w:szCs w:val="18"/>
                <w:color w:val="auto"/>
              </w:rPr>
            </w:pPr>
          </w:p>
        </w:tc>
        <w:tc>
          <w:tcPr>
            <w:tcW w:w="25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231F20"/>
                <w:w w:val="99"/>
              </w:rPr>
              <w:t>ending</w:t>
            </w:r>
          </w:p>
        </w:tc>
        <w:tc>
          <w:tcPr>
            <w:tcW w:w="2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231F20"/>
              </w:rPr>
              <w:t>For the year</w:t>
            </w:r>
          </w:p>
        </w:tc>
      </w:tr>
      <w:tr>
        <w:trPr>
          <w:trHeight w:val="216"/>
        </w:trPr>
        <w:tc>
          <w:tcPr>
            <w:tcW w:w="2720" w:type="dxa"/>
            <w:vAlign w:val="bottom"/>
          </w:tcPr>
          <w:p>
            <w:pPr>
              <w:spacing w:after="0"/>
              <w:rPr>
                <w:sz w:val="18"/>
                <w:szCs w:val="18"/>
                <w:color w:val="auto"/>
              </w:rPr>
            </w:pPr>
          </w:p>
        </w:tc>
        <w:tc>
          <w:tcPr>
            <w:tcW w:w="21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231F20"/>
                <w:w w:val="99"/>
              </w:rPr>
              <w:t>from January 1,</w:t>
            </w:r>
          </w:p>
        </w:tc>
        <w:tc>
          <w:tcPr>
            <w:tcW w:w="780" w:type="dxa"/>
            <w:vAlign w:val="bottom"/>
          </w:tcPr>
          <w:p>
            <w:pPr>
              <w:spacing w:after="0"/>
              <w:rPr>
                <w:sz w:val="18"/>
                <w:szCs w:val="18"/>
                <w:color w:val="auto"/>
              </w:rPr>
            </w:pPr>
          </w:p>
        </w:tc>
        <w:tc>
          <w:tcPr>
            <w:tcW w:w="2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231F20"/>
                <w:w w:val="99"/>
              </w:rPr>
              <w:t>December</w:t>
            </w:r>
          </w:p>
        </w:tc>
        <w:tc>
          <w:tcPr>
            <w:tcW w:w="2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231F20"/>
                <w:w w:val="99"/>
              </w:rPr>
              <w:t>ending</w:t>
            </w:r>
          </w:p>
        </w:tc>
      </w:tr>
      <w:tr>
        <w:trPr>
          <w:trHeight w:val="216"/>
        </w:trPr>
        <w:tc>
          <w:tcPr>
            <w:tcW w:w="2720" w:type="dxa"/>
            <w:vAlign w:val="bottom"/>
          </w:tcPr>
          <w:p>
            <w:pPr>
              <w:spacing w:after="0"/>
              <w:rPr>
                <w:sz w:val="18"/>
                <w:szCs w:val="18"/>
                <w:color w:val="auto"/>
              </w:rPr>
            </w:pPr>
          </w:p>
        </w:tc>
        <w:tc>
          <w:tcPr>
            <w:tcW w:w="21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231F20"/>
              </w:rPr>
              <w:t>2026 to July</w:t>
            </w:r>
          </w:p>
        </w:tc>
        <w:tc>
          <w:tcPr>
            <w:tcW w:w="780" w:type="dxa"/>
            <w:vAlign w:val="bottom"/>
          </w:tcPr>
          <w:p>
            <w:pPr>
              <w:spacing w:after="0"/>
              <w:rPr>
                <w:sz w:val="18"/>
                <w:szCs w:val="18"/>
                <w:color w:val="auto"/>
              </w:rPr>
            </w:pPr>
          </w:p>
        </w:tc>
        <w:tc>
          <w:tcPr>
            <w:tcW w:w="2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231F20"/>
                <w:w w:val="98"/>
              </w:rPr>
              <w:t>31, 2026</w:t>
            </w:r>
          </w:p>
        </w:tc>
        <w:tc>
          <w:tcPr>
            <w:tcW w:w="20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231F20"/>
                <w:w w:val="99"/>
              </w:rPr>
              <w:t>December</w:t>
            </w:r>
          </w:p>
        </w:tc>
      </w:tr>
      <w:tr>
        <w:trPr>
          <w:trHeight w:val="216"/>
        </w:trPr>
        <w:tc>
          <w:tcPr>
            <w:tcW w:w="4820" w:type="dxa"/>
            <w:vAlign w:val="bottom"/>
            <w:gridSpan w:val="2"/>
          </w:tcPr>
          <w:p>
            <w:pPr>
              <w:jc w:val="center"/>
              <w:ind w:left="3070"/>
              <w:spacing w:after="0"/>
              <w:rPr>
                <w:sz w:val="20"/>
                <w:szCs w:val="20"/>
                <w:color w:val="auto"/>
              </w:rPr>
            </w:pPr>
            <w:r>
              <w:rPr>
                <w:rFonts w:ascii="Times New Roman" w:cs="Times New Roman" w:eastAsia="Times New Roman" w:hAnsi="Times New Roman"/>
                <w:sz w:val="18"/>
                <w:szCs w:val="18"/>
                <w:b w:val="1"/>
                <w:bCs w:val="1"/>
                <w:color w:val="231F20"/>
                <w:w w:val="98"/>
              </w:rPr>
              <w:t>28, 2026</w:t>
            </w:r>
          </w:p>
        </w:tc>
        <w:tc>
          <w:tcPr>
            <w:tcW w:w="780" w:type="dxa"/>
            <w:vAlign w:val="bottom"/>
          </w:tcPr>
          <w:p>
            <w:pPr>
              <w:spacing w:after="0"/>
              <w:rPr>
                <w:sz w:val="18"/>
                <w:szCs w:val="18"/>
                <w:color w:val="auto"/>
              </w:rPr>
            </w:pPr>
          </w:p>
        </w:tc>
        <w:tc>
          <w:tcPr>
            <w:tcW w:w="25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231F20"/>
                <w:w w:val="99"/>
              </w:rPr>
              <w:t>Proposed</w:t>
            </w:r>
          </w:p>
        </w:tc>
        <w:tc>
          <w:tcPr>
            <w:tcW w:w="2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231F20"/>
              </w:rPr>
              <w:t>31, 2027</w:t>
            </w:r>
          </w:p>
        </w:tc>
      </w:tr>
      <w:tr>
        <w:trPr>
          <w:trHeight w:val="230"/>
        </w:trPr>
        <w:tc>
          <w:tcPr>
            <w:tcW w:w="2720" w:type="dxa"/>
            <w:vAlign w:val="bottom"/>
          </w:tcPr>
          <w:p>
            <w:pPr>
              <w:spacing w:after="0"/>
              <w:rPr>
                <w:sz w:val="19"/>
                <w:szCs w:val="19"/>
                <w:color w:val="auto"/>
              </w:rPr>
            </w:pPr>
          </w:p>
        </w:tc>
        <w:tc>
          <w:tcPr>
            <w:tcW w:w="21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231F20"/>
              </w:rPr>
              <w:t>Original</w:t>
            </w:r>
          </w:p>
        </w:tc>
        <w:tc>
          <w:tcPr>
            <w:tcW w:w="780" w:type="dxa"/>
            <w:vAlign w:val="bottom"/>
          </w:tcPr>
          <w:p>
            <w:pPr>
              <w:spacing w:after="0"/>
              <w:rPr>
                <w:sz w:val="19"/>
                <w:szCs w:val="19"/>
                <w:color w:val="auto"/>
              </w:rPr>
            </w:pPr>
          </w:p>
        </w:tc>
        <w:tc>
          <w:tcPr>
            <w:tcW w:w="2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231F20"/>
                <w:w w:val="98"/>
              </w:rPr>
              <w:t>revised</w:t>
            </w:r>
          </w:p>
        </w:tc>
        <w:tc>
          <w:tcPr>
            <w:tcW w:w="2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231F20"/>
                <w:w w:val="99"/>
              </w:rPr>
              <w:t>Proposed</w:t>
            </w:r>
          </w:p>
        </w:tc>
      </w:tr>
      <w:tr>
        <w:trPr>
          <w:trHeight w:val="238"/>
        </w:trPr>
        <w:tc>
          <w:tcPr>
            <w:tcW w:w="2720" w:type="dxa"/>
            <w:vAlign w:val="bottom"/>
          </w:tcPr>
          <w:p>
            <w:pPr>
              <w:spacing w:after="0"/>
              <w:rPr>
                <w:sz w:val="20"/>
                <w:szCs w:val="20"/>
                <w:color w:val="auto"/>
              </w:rPr>
            </w:pPr>
          </w:p>
        </w:tc>
        <w:tc>
          <w:tcPr>
            <w:tcW w:w="21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231F20"/>
                <w:w w:val="99"/>
              </w:rPr>
              <w:t>annual cap</w:t>
            </w:r>
          </w:p>
        </w:tc>
        <w:tc>
          <w:tcPr>
            <w:tcW w:w="7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231F20"/>
                <w:w w:val="99"/>
              </w:rPr>
              <w:t>annual cap</w:t>
            </w:r>
          </w:p>
        </w:tc>
        <w:tc>
          <w:tcPr>
            <w:tcW w:w="2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231F20"/>
                <w:w w:val="99"/>
              </w:rPr>
              <w:t>annual cap</w:t>
            </w:r>
          </w:p>
        </w:tc>
      </w:tr>
      <w:tr>
        <w:trPr>
          <w:trHeight w:val="209"/>
        </w:trPr>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80" w:type="dxa"/>
            <w:vAlign w:val="bottom"/>
          </w:tcPr>
          <w:p>
            <w:pPr>
              <w:jc w:val="right"/>
              <w:ind w:right="1090"/>
              <w:spacing w:after="0"/>
              <w:rPr>
                <w:sz w:val="20"/>
                <w:szCs w:val="20"/>
                <w:color w:val="auto"/>
              </w:rPr>
            </w:pPr>
            <w:r>
              <w:rPr>
                <w:rFonts w:ascii="Times New Roman" w:cs="Times New Roman" w:eastAsia="Times New Roman" w:hAnsi="Times New Roman"/>
                <w:sz w:val="18"/>
                <w:szCs w:val="18"/>
                <w:i w:val="1"/>
                <w:iCs w:val="1"/>
                <w:color w:val="auto"/>
              </w:rPr>
              <w:t>(RMB million)</w:t>
            </w:r>
          </w:p>
        </w:tc>
        <w:tc>
          <w:tcPr>
            <w:tcW w:w="2040" w:type="dxa"/>
            <w:vAlign w:val="bottom"/>
          </w:tcPr>
          <w:p>
            <w:pPr>
              <w:spacing w:after="0"/>
              <w:rPr>
                <w:sz w:val="18"/>
                <w:szCs w:val="18"/>
                <w:color w:val="auto"/>
              </w:rPr>
            </w:pPr>
          </w:p>
        </w:tc>
      </w:tr>
      <w:tr>
        <w:trPr>
          <w:trHeight w:val="198"/>
        </w:trPr>
        <w:tc>
          <w:tcPr>
            <w:tcW w:w="4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31F20"/>
              </w:rPr>
              <w:t>Fees payable by the Group to the</w:t>
            </w:r>
          </w:p>
        </w:tc>
        <w:tc>
          <w:tcPr>
            <w:tcW w:w="7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r>
      <w:tr>
        <w:trPr>
          <w:trHeight w:val="216"/>
        </w:trPr>
        <w:tc>
          <w:tcPr>
            <w:tcW w:w="4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Xiaomi Corporation for hardware</w:t>
            </w:r>
          </w:p>
        </w:tc>
        <w:tc>
          <w:tcPr>
            <w:tcW w:w="7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4"/>
        </w:trPr>
        <w:tc>
          <w:tcPr>
            <w:tcW w:w="4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equipment</w:t>
            </w:r>
          </w:p>
        </w:tc>
        <w:tc>
          <w:tcPr>
            <w:tcW w:w="7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6.7</w:t>
            </w:r>
          </w:p>
        </w:tc>
        <w:tc>
          <w:tcPr>
            <w:tcW w:w="2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231F20"/>
              </w:rPr>
              <w:t>1,000.0</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1,500.0</w:t>
            </w:r>
          </w:p>
        </w:tc>
      </w:tr>
    </w:tbl>
    <w:p>
      <w:pPr>
        <w:spacing w:after="0" w:line="225" w:lineRule="exact"/>
        <w:rPr>
          <w:sz w:val="20"/>
          <w:szCs w:val="20"/>
          <w:color w:val="auto"/>
        </w:rPr>
      </w:pPr>
    </w:p>
    <w:p>
      <w:pPr>
        <w:jc w:val="both"/>
        <w:ind w:left="506" w:right="20"/>
        <w:spacing w:after="0" w:line="261" w:lineRule="auto"/>
        <w:rPr>
          <w:sz w:val="20"/>
          <w:szCs w:val="20"/>
          <w:color w:val="auto"/>
        </w:rPr>
      </w:pPr>
      <w:r>
        <w:rPr>
          <w:rFonts w:ascii="Times New Roman" w:cs="Times New Roman" w:eastAsia="Times New Roman" w:hAnsi="Times New Roman"/>
          <w:sz w:val="18"/>
          <w:szCs w:val="18"/>
          <w:color w:val="231F20"/>
        </w:rPr>
        <w:t xml:space="preserve">The proposed revised annual cap for the year 2026 and the proposed annual cap for the year 2027 in relation to the procurement of hardware equipment are determined </w:t>
      </w:r>
      <w:r>
        <w:rPr>
          <w:rFonts w:ascii="Times New Roman" w:cs="Times New Roman" w:eastAsia="Times New Roman" w:hAnsi="Times New Roman"/>
          <w:sz w:val="18"/>
          <w:szCs w:val="18"/>
          <w:color w:val="000000"/>
        </w:rPr>
        <w:t>with reference to, among other things: (i) the historical transaction amount for the year ended December 31, 2025;</w:t>
      </w:r>
    </w:p>
    <w:p>
      <w:pPr>
        <w:jc w:val="both"/>
        <w:ind w:left="506" w:right="20" w:firstLine="4"/>
        <w:spacing w:after="0" w:line="252" w:lineRule="auto"/>
        <w:tabs>
          <w:tab w:leader="none" w:pos="7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types and technical specifications of the hardware equipment to be procured from the Xiaomi Corporation; (iii) the continuous growth in Group’s cloud services business volume provided to Xiaomi, driving a significant increase in the demand for hardware equipment procurement. It is expected that the fees payable for the procurement of hardware equipment in 2026 will be approximately RMB930 million, and the Group’s demand for such procurement is expected to continue its growth trend in 2027; (iv) the relevant planned business schedule for the Group’s deployment and operation of hardware equipment; (v) the prevailing market prices of similar equipment; and (vi) the pricing principles agreed upon by the parties under the 2025 Xiaomi Cooperation Framework Agreement.</w:t>
      </w:r>
    </w:p>
    <w:p>
      <w:pPr>
        <w:spacing w:after="0" w:line="200" w:lineRule="exact"/>
        <w:rPr>
          <w:sz w:val="20"/>
          <w:szCs w:val="20"/>
          <w:color w:val="auto"/>
        </w:rPr>
      </w:pPr>
    </w:p>
    <w:p>
      <w:pPr>
        <w:spacing w:after="0" w:line="206" w:lineRule="exact"/>
        <w:rPr>
          <w:sz w:val="20"/>
          <w:szCs w:val="20"/>
          <w:color w:val="auto"/>
        </w:rPr>
      </w:pPr>
    </w:p>
    <w:p>
      <w:pPr>
        <w:jc w:val="center"/>
        <w:ind w:right="53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26"/>
          </w:cols>
          <w:pgMar w:left="854" w:top="904" w:right="319" w:bottom="1440" w:gutter="0" w:footer="0" w:header="0"/>
        </w:sectPr>
      </w:pPr>
    </w:p>
    <w:bookmarkStart w:id="16" w:name="page17"/>
    <w:bookmarkEnd w:id="16"/>
    <w:p>
      <w:pPr>
        <w:jc w:val="both"/>
        <w:ind w:left="506" w:right="20"/>
        <w:spacing w:after="0" w:line="261" w:lineRule="auto"/>
        <w:rPr>
          <w:sz w:val="20"/>
          <w:szCs w:val="20"/>
          <w:color w:val="auto"/>
        </w:rPr>
      </w:pPr>
      <w:r>
        <w:rPr>
          <w:rFonts w:ascii="Times New Roman" w:cs="Times New Roman" w:eastAsia="Times New Roman" w:hAnsi="Times New Roman"/>
          <w:sz w:val="18"/>
          <w:szCs w:val="18"/>
          <w:color w:val="auto"/>
        </w:rPr>
        <w:t>Given the deepening cooperation between the Group and Xiaomi Corporation in the cloud computing field, with Xiaomi being a major cloud service customer of the Group, its business growth directly drives an increase in the Group’s demand for cloud infrastructure. In order to support the complementary partnership between the two parties, the Group plans to increase its procurement of competitively priced hardware equipment from Xiaomi, to more efficiently meet the expansion needs of Xiaomi’s cloud business.</w:t>
      </w:r>
    </w:p>
    <w:p>
      <w:pPr>
        <w:spacing w:after="0" w:line="180" w:lineRule="exact"/>
        <w:rPr>
          <w:sz w:val="20"/>
          <w:szCs w:val="20"/>
          <w:color w:val="auto"/>
        </w:rPr>
      </w:pPr>
    </w:p>
    <w:p>
      <w:pPr>
        <w:jc w:val="both"/>
        <w:ind w:left="506" w:right="20"/>
        <w:spacing w:after="0" w:line="266" w:lineRule="auto"/>
        <w:rPr>
          <w:sz w:val="20"/>
          <w:szCs w:val="20"/>
          <w:color w:val="auto"/>
        </w:rPr>
      </w:pPr>
      <w:r>
        <w:rPr>
          <w:rFonts w:ascii="Times New Roman" w:cs="Times New Roman" w:eastAsia="Times New Roman" w:hAnsi="Times New Roman"/>
          <w:sz w:val="18"/>
          <w:szCs w:val="18"/>
          <w:color w:val="231F20"/>
        </w:rPr>
        <w:t>For other reference factors regarding the basis for determining the proposed revised annual caps, please refer to the section headed “Reasons for and Benefits of the Proposed Revised Annual Caps and/or Proposed Annual Caps for IDC Services, Hardware Equipment and API Services” in this announcement.</w:t>
      </w:r>
    </w:p>
    <w:p>
      <w:pPr>
        <w:spacing w:after="0" w:line="172" w:lineRule="exact"/>
        <w:rPr>
          <w:sz w:val="20"/>
          <w:szCs w:val="20"/>
          <w:color w:val="auto"/>
        </w:rPr>
      </w:pPr>
    </w:p>
    <w:p>
      <w:pPr>
        <w:ind w:left="506" w:hanging="506"/>
        <w:spacing w:after="0"/>
        <w:tabs>
          <w:tab w:leader="none" w:pos="506" w:val="left"/>
        </w:tabs>
        <w:numPr>
          <w:ilvl w:val="0"/>
          <w:numId w:val="2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in respect of API services</w:t>
      </w:r>
    </w:p>
    <w:p>
      <w:pPr>
        <w:spacing w:after="0" w:line="229" w:lineRule="exact"/>
        <w:rPr>
          <w:rFonts w:ascii="Times New Roman" w:cs="Times New Roman" w:eastAsia="Times New Roman" w:hAnsi="Times New Roman"/>
          <w:sz w:val="18"/>
          <w:szCs w:val="18"/>
          <w:b w:val="1"/>
          <w:bCs w:val="1"/>
          <w:color w:val="231F20"/>
        </w:rPr>
      </w:pPr>
    </w:p>
    <w:p>
      <w:pPr>
        <w:ind w:left="506"/>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There were no historical transaction amounts for the Group’s procurement of API services from Xiaomi Corporation.</w:t>
      </w:r>
    </w:p>
    <w:p>
      <w:pPr>
        <w:spacing w:after="0" w:line="225" w:lineRule="exact"/>
        <w:rPr>
          <w:rFonts w:ascii="Times New Roman" w:cs="Times New Roman" w:eastAsia="Times New Roman" w:hAnsi="Times New Roman"/>
          <w:sz w:val="18"/>
          <w:szCs w:val="18"/>
          <w:b w:val="1"/>
          <w:bCs w:val="1"/>
          <w:color w:val="231F20"/>
        </w:rPr>
      </w:pPr>
    </w:p>
    <w:p>
      <w:pPr>
        <w:ind w:left="506" w:right="2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The Company proposes to set the annual caps for the procurement of API services under the 2025 Xiaomi Cooperation Framework Agreement for the period from April 23, 2026 to December 31, 2027 as follows:</w:t>
      </w:r>
    </w:p>
    <w:p>
      <w:pPr>
        <w:spacing w:after="0" w:line="158" w:lineRule="exact"/>
        <w:rPr>
          <w:sz w:val="20"/>
          <w:szCs w:val="20"/>
          <w:color w:val="auto"/>
        </w:rPr>
      </w:pPr>
    </w:p>
    <w:tbl>
      <w:tblPr>
        <w:tblLayout w:type="fixed"/>
        <w:tblInd w:w="506" w:type="dxa"/>
        <w:tblCellMar>
          <w:top w:w="0" w:type="dxa"/>
          <w:left w:w="0" w:type="dxa"/>
          <w:bottom w:w="0" w:type="dxa"/>
          <w:right w:w="0" w:type="dxa"/>
        </w:tblCellMar>
      </w:tblPr>
      <w:tr>
        <w:trPr>
          <w:trHeight w:val="232"/>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Proposed annual caps</w:t>
            </w: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350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231F20"/>
                <w:w w:val="99"/>
              </w:rPr>
              <w:t>(RMB million)</w:t>
            </w:r>
          </w:p>
        </w:tc>
        <w:tc>
          <w:tcPr>
            <w:tcW w:w="2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187"/>
        </w:trPr>
        <w:tc>
          <w:tcPr>
            <w:tcW w:w="3500" w:type="dxa"/>
            <w:vAlign w:val="bottom"/>
          </w:tcPr>
          <w:p>
            <w:pPr>
              <w:spacing w:after="0"/>
              <w:rPr>
                <w:sz w:val="16"/>
                <w:szCs w:val="16"/>
                <w:color w:val="auto"/>
              </w:rPr>
            </w:pPr>
          </w:p>
        </w:tc>
        <w:tc>
          <w:tcPr>
            <w:tcW w:w="2480" w:type="dxa"/>
            <w:vAlign w:val="bottom"/>
          </w:tcPr>
          <w:p>
            <w:pPr>
              <w:jc w:val="center"/>
              <w:ind w:left="790"/>
              <w:spacing w:after="0" w:line="188" w:lineRule="exact"/>
              <w:rPr>
                <w:sz w:val="20"/>
                <w:szCs w:val="20"/>
                <w:color w:val="auto"/>
              </w:rPr>
            </w:pPr>
            <w:r>
              <w:rPr>
                <w:rFonts w:ascii="Times New Roman" w:cs="Times New Roman" w:eastAsia="Times New Roman" w:hAnsi="Times New Roman"/>
                <w:sz w:val="18"/>
                <w:szCs w:val="18"/>
                <w:b w:val="1"/>
                <w:bCs w:val="1"/>
                <w:color w:val="231F20"/>
                <w:w w:val="99"/>
              </w:rPr>
              <w:t>For the period from</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9"/>
        </w:trPr>
        <w:tc>
          <w:tcPr>
            <w:tcW w:w="3500" w:type="dxa"/>
            <w:vAlign w:val="bottom"/>
          </w:tcPr>
          <w:p>
            <w:pPr>
              <w:spacing w:after="0"/>
              <w:rPr>
                <w:sz w:val="19"/>
                <w:szCs w:val="19"/>
                <w:color w:val="auto"/>
              </w:rPr>
            </w:pPr>
          </w:p>
        </w:tc>
        <w:tc>
          <w:tcPr>
            <w:tcW w:w="248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231F20"/>
                <w:w w:val="99"/>
              </w:rPr>
              <w:t>April 23, 2026 to</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8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231F20"/>
                <w:w w:val="98"/>
              </w:rPr>
              <w:t>For the year ending</w:t>
            </w:r>
          </w:p>
        </w:tc>
      </w:tr>
      <w:tr>
        <w:trPr>
          <w:trHeight w:val="238"/>
        </w:trPr>
        <w:tc>
          <w:tcPr>
            <w:tcW w:w="3500" w:type="dxa"/>
            <w:vAlign w:val="bottom"/>
          </w:tcPr>
          <w:p>
            <w:pPr>
              <w:spacing w:after="0"/>
              <w:rPr>
                <w:sz w:val="20"/>
                <w:szCs w:val="20"/>
                <w:color w:val="auto"/>
              </w:rPr>
            </w:pPr>
          </w:p>
        </w:tc>
        <w:tc>
          <w:tcPr>
            <w:tcW w:w="24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231F20"/>
              </w:rPr>
              <w:t>December 31, 2026</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8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231F20"/>
              </w:rPr>
              <w:t>December 31, 2027</w:t>
            </w:r>
          </w:p>
        </w:tc>
      </w:tr>
      <w:tr>
        <w:trPr>
          <w:trHeight w:val="178"/>
        </w:trPr>
        <w:tc>
          <w:tcPr>
            <w:tcW w:w="35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231F20"/>
              </w:rPr>
              <w:t>Fees payable by the Group to Xiaomi</w:t>
            </w:r>
          </w:p>
        </w:tc>
        <w:tc>
          <w:tcPr>
            <w:tcW w:w="24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Corporation for API services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left="506" w:right="20"/>
        <w:spacing w:after="0" w:line="261" w:lineRule="auto"/>
        <w:rPr>
          <w:sz w:val="20"/>
          <w:szCs w:val="20"/>
          <w:color w:val="auto"/>
        </w:rPr>
      </w:pPr>
      <w:r>
        <w:rPr>
          <w:rFonts w:ascii="Times New Roman" w:cs="Times New Roman" w:eastAsia="Times New Roman" w:hAnsi="Times New Roman"/>
          <w:sz w:val="18"/>
          <w:szCs w:val="18"/>
          <w:color w:val="231F20"/>
        </w:rPr>
        <w:t>The proposed annual caps in respect of the procurement of API services are determined with reference to, among other things: (i) the current and estimated increasing demand for API-related services by the Group arising from the expected business development and expansion in cloud services and artificial intelligence infrastructure; (ii) the prevailing market prices of similar API services; and (iii) the pricing principles agreed by the parties under the 2025 Xiaomi Cooperation Framework Agreement.</w:t>
      </w:r>
    </w:p>
    <w:p>
      <w:pPr>
        <w:spacing w:after="0" w:line="180" w:lineRule="exact"/>
        <w:rPr>
          <w:sz w:val="20"/>
          <w:szCs w:val="20"/>
          <w:color w:val="auto"/>
        </w:rPr>
      </w:pPr>
    </w:p>
    <w:p>
      <w:pPr>
        <w:jc w:val="both"/>
        <w:ind w:left="506" w:right="20"/>
        <w:spacing w:after="0" w:line="266" w:lineRule="auto"/>
        <w:rPr>
          <w:sz w:val="20"/>
          <w:szCs w:val="20"/>
          <w:color w:val="auto"/>
        </w:rPr>
      </w:pPr>
      <w:r>
        <w:rPr>
          <w:rFonts w:ascii="Times New Roman" w:cs="Times New Roman" w:eastAsia="Times New Roman" w:hAnsi="Times New Roman"/>
          <w:sz w:val="18"/>
          <w:szCs w:val="18"/>
          <w:color w:val="231F20"/>
        </w:rPr>
        <w:t>For other reference factors regarding the basis for determining the proposed revised annual caps, please refer to the section headed “Reasons for and Benefits of the Proposed Revised Annual Caps and/or Proposed Annual Caps for IDC Services, Hardware Equipment and API Services” in this announcement.</w:t>
      </w:r>
    </w:p>
    <w:p>
      <w:pPr>
        <w:spacing w:after="0" w:line="392" w:lineRule="exact"/>
        <w:rPr>
          <w:sz w:val="20"/>
          <w:szCs w:val="20"/>
          <w:color w:val="auto"/>
        </w:rPr>
      </w:pPr>
    </w:p>
    <w:p>
      <w:pPr>
        <w:jc w:val="center"/>
        <w:ind w:right="53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6"/>
          </w:cols>
          <w:pgMar w:left="854" w:top="904" w:right="319" w:bottom="1440" w:gutter="0" w:footer="0" w:header="0"/>
        </w:sectPr>
      </w:pPr>
    </w:p>
    <w:bookmarkStart w:id="17" w:name="page18"/>
    <w:bookmarkEnd w:id="17"/>
    <w:p>
      <w:pPr>
        <w:ind w:left="520" w:right="80" w:hanging="512"/>
        <w:spacing w:after="0" w:line="286" w:lineRule="auto"/>
        <w:tabs>
          <w:tab w:leader="none" w:pos="520" w:val="left"/>
        </w:tabs>
        <w:numPr>
          <w:ilvl w:val="0"/>
          <w:numId w:val="22"/>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Reasons for and Benefits of the Proposed Revised Annual Caps and/or Proposed Annual Caps for IDC Services, Hardware Equipment and API Services</w:t>
      </w:r>
    </w:p>
    <w:p>
      <w:pPr>
        <w:spacing w:after="0" w:line="158" w:lineRule="exact"/>
        <w:rPr>
          <w:rFonts w:ascii="Times New Roman" w:cs="Times New Roman" w:eastAsia="Times New Roman" w:hAnsi="Times New Roman"/>
          <w:sz w:val="18"/>
          <w:szCs w:val="18"/>
          <w:b w:val="1"/>
          <w:bCs w:val="1"/>
          <w:i w:val="1"/>
          <w:iCs w:val="1"/>
          <w:color w:val="231F20"/>
        </w:rPr>
      </w:pPr>
    </w:p>
    <w:p>
      <w:pPr>
        <w:jc w:val="both"/>
        <w:ind w:left="540"/>
        <w:spacing w:after="0" w:line="253" w:lineRule="auto"/>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231F20"/>
        </w:rPr>
        <w:t>As a cloud service provider, the Company requires a significant amount of IDC resources and hardware equipment to support its growing business and enhance its cloud service capabilities. In view of the long-term business relationship between the Group and the Xiaomi Corporation and their mutual familiarity with each other’s business and operations, utilizing Xiaomi’s existing IDC services and procuring hardware equipment from the Xiaomi Corporation will enable the Group to fully leverage the infrastructure and equipment coverage owned by the Xiaomi Corporation, integrate Xiaomi’s advanced services and products with the Group’s products, promote the Group’s product innovation and business growth, and deepen the cooperation with the Xiaomi Corporation. In addition, as the terms and conditions for the procurement of services and products from Xiaomi Corporation are no less favorable to the Group than those for the procurement of services and products from other Independent Third Party service providers, entering into such transactions will enable the Group to obtain a stable and high-quality source of IDC services and hardware equipment, and reduce the administrative expenses of the Group in procuring similar services from numerous providers, thereby further improving overall operational efficiency.</w:t>
      </w:r>
    </w:p>
    <w:p>
      <w:pPr>
        <w:spacing w:after="0" w:line="194" w:lineRule="exact"/>
        <w:rPr>
          <w:rFonts w:ascii="Times New Roman" w:cs="Times New Roman" w:eastAsia="Times New Roman" w:hAnsi="Times New Roman"/>
          <w:sz w:val="18"/>
          <w:szCs w:val="18"/>
          <w:b w:val="1"/>
          <w:bCs w:val="1"/>
          <w:i w:val="1"/>
          <w:iCs w:val="1"/>
          <w:color w:val="231F20"/>
        </w:rPr>
      </w:pPr>
    </w:p>
    <w:p>
      <w:pPr>
        <w:jc w:val="both"/>
        <w:ind w:left="540"/>
        <w:spacing w:after="0" w:line="266" w:lineRule="auto"/>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231F20"/>
        </w:rPr>
        <w:t>The Group plans to procure Xiaomi’s MiMo model API services to expand its model ecosystem and provide customers with diversified options. Customers will be able to directly select and invoke Xiaomi’s MiMo model API services on the Group’s platform, enabling one-stop management of model services, particularly suitable for customers who already use multiple models but desire unified platform scheduling.</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Taking into account (i) the Group’s demand for IDC services, hardware equipment and API services, (ii) the parties’ long-term collaboration, and</w:t>
      </w:r>
    </w:p>
    <w:p>
      <w:pPr>
        <w:spacing w:after="0" w:line="27" w:lineRule="exact"/>
        <w:rPr>
          <w:sz w:val="20"/>
          <w:szCs w:val="20"/>
          <w:color w:val="auto"/>
        </w:rPr>
      </w:pPr>
    </w:p>
    <w:p>
      <w:pPr>
        <w:jc w:val="both"/>
        <w:ind w:left="540"/>
        <w:spacing w:after="0" w:line="253" w:lineRule="auto"/>
        <w:tabs>
          <w:tab w:leader="none" w:pos="85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no less favorable conditions offered by Xiaomi than those available from Independent Third Party suppliers, the Company believes that it is in the interests of the Company and the Shareholders as a whole to procure such products and services from Xiaomi to ensure stability and scalability in response to the Company’s growing business needs and facilitate the improvement of the Group’s technology capabilities, and that the amendment to the 2025 Xiaomi Cooperation Framework Agreement is beneficial to regulate the continuing connected transactions contemplated thereunder.</w:t>
      </w:r>
    </w:p>
    <w:p>
      <w:pPr>
        <w:spacing w:after="0" w:line="187" w:lineRule="exact"/>
        <w:rPr>
          <w:sz w:val="20"/>
          <w:szCs w:val="20"/>
          <w:color w:val="auto"/>
        </w:rPr>
      </w:pPr>
    </w:p>
    <w:p>
      <w:pPr>
        <w:jc w:val="both"/>
        <w:ind w:left="540"/>
        <w:spacing w:after="0" w:line="261" w:lineRule="auto"/>
        <w:rPr>
          <w:sz w:val="20"/>
          <w:szCs w:val="20"/>
          <w:color w:val="auto"/>
        </w:rPr>
      </w:pPr>
      <w:r>
        <w:rPr>
          <w:rFonts w:ascii="Times New Roman" w:cs="Times New Roman" w:eastAsia="Times New Roman" w:hAnsi="Times New Roman"/>
          <w:sz w:val="18"/>
          <w:szCs w:val="18"/>
          <w:color w:val="231F20"/>
        </w:rPr>
        <w:t>The abovementioned annual caps and estimated transaction amounts only represent reasonable estimates made by the Group based on currently available information. The actual amounts incurred are subject to the external economic environment, supply chain conditions, and the business needs of the Group from time to time, and should not be construed as reflecting the actual financial performance or future financial potential of the Group.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right="7700" w:firstLine="8"/>
        <w:spacing w:after="0" w:line="532" w:lineRule="auto"/>
        <w:tabs>
          <w:tab w:leader="none" w:pos="300" w:val="left"/>
        </w:tabs>
        <w:numPr>
          <w:ilvl w:val="0"/>
          <w:numId w:val="24"/>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INFORMATION ABOUT THE PARTIES A.         Information on the Company</w:t>
      </w:r>
    </w:p>
    <w:p>
      <w:pPr>
        <w:spacing w:after="0" w:line="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231F20"/>
        </w:rPr>
        <w:t>The Company was incorporated under the laws of the Cayman Islands on January 3, 2012 as an exempted company with limited liability, whose ADSs were listed on Nasdaq under the symbol “KC” on May 8, 2020 and whose Shares were listed on the Main Board of the Hong Kong Stock Exchange under the stock code “3896” and stock short name “KINGSOFT CLOUD” on December 30, 2022.</w:t>
      </w:r>
    </w:p>
    <w:p>
      <w:pPr>
        <w:spacing w:after="0" w:line="176"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231F20"/>
        </w:rPr>
        <w:t>The Company is a leading cloud service provider in China. With its full commitment to cloud services, it is dedicated to mobilizing its resources to enable its customers to successfully embrace the benefits of cloud solutions, to pursue their digital transformation strategies, and to create business value.</w:t>
      </w:r>
    </w:p>
    <w:p>
      <w:pPr>
        <w:spacing w:after="0" w:line="172"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Information on Xiaomi</w:t>
      </w:r>
    </w:p>
    <w:p>
      <w:pPr>
        <w:spacing w:after="0" w:line="229" w:lineRule="exact"/>
        <w:rPr>
          <w:rFonts w:ascii="Times New Roman" w:cs="Times New Roman" w:eastAsia="Times New Roman" w:hAnsi="Times New Roman"/>
          <w:sz w:val="18"/>
          <w:szCs w:val="18"/>
          <w:b w:val="1"/>
          <w:bCs w:val="1"/>
          <w:color w:val="231F20"/>
        </w:rPr>
      </w:pPr>
    </w:p>
    <w:p>
      <w:pPr>
        <w:ind w:left="52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Xiaomi (a substantial shareholder of the Company) is a company with limited liability incorporated under the laws of the Cayman Islands, whose shares are listed on the Main Board of the Stock Exchange (Stock Codes: 1810 (HKD counter) and 81810 (RMB counter)).</w:t>
      </w:r>
    </w:p>
    <w:p>
      <w:pPr>
        <w:spacing w:after="0" w:line="16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231F20"/>
        </w:rPr>
        <w:t>The Xiaomi Group is principally engaged in the research and development and sale of smartphones, IoT and lifestyle consumer products, the provision of internet services, innovative businesses such as the development, manufacture and sale of smart electric vehicles and artificial intelligence research and development, as well as investment holding, in the PRC and other countries or regions.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IV. INTERNAL CONTROL MEASURES</w:t>
      </w:r>
    </w:p>
    <w:p>
      <w:pPr>
        <w:spacing w:after="0" w:line="22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231F20"/>
        </w:rPr>
        <w:t>In order to ensure that the terms and conditions of the continuing connected transactions contemplated under the 2024 Xiaomi Framework Agreement and the 2025 Xiaomi Cooperation Framework Agreement are on normal commercial terms, fair and reasonable to the Company and the Shareholders, and are no more favorable than terms offered by the Group to Independent Third Parties or no less favorable than those provided by Independent Third Parties, the Company has adopted the following internal control procedures:</w:t>
      </w:r>
    </w:p>
    <w:p>
      <w:pPr>
        <w:spacing w:after="0" w:line="180" w:lineRule="exact"/>
        <w:rPr>
          <w:sz w:val="20"/>
          <w:szCs w:val="20"/>
          <w:color w:val="auto"/>
        </w:rPr>
      </w:pPr>
    </w:p>
    <w:p>
      <w:pPr>
        <w:ind w:left="980" w:hanging="473"/>
        <w:spacing w:after="0" w:line="282" w:lineRule="auto"/>
        <w:tabs>
          <w:tab w:leader="none" w:pos="98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respect of the various types of continuing connected transactions to be conducted with Xiaomi Corporation, the Group will ensure that the terms and conditions of the transactions (including the pricing policy) are fair and reasonable in accordance with the following procedures: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left="1160" w:hanging="505"/>
        <w:spacing w:after="0" w:line="256" w:lineRule="auto"/>
        <w:tabs>
          <w:tab w:leader="none" w:pos="1160" w:val="left"/>
        </w:tabs>
        <w:numPr>
          <w:ilvl w:val="1"/>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 respect to the cloud services to be provided by the Group under the 2024 Xiaomi Framework Agreement, the relevant personnel of the Company’s business department will conduct quarterly checks on the standard prices published on the Company’s website, the prevailing market conditions and practices of cloud services (including market fee rates, where available) and the pricing and terms offered by the Group to Independent Third Parties for the purpose of considering whether the service fee charged for a specific type of transaction is no more favorable than that offered to Independent Third Parties and is fair and reasonable, and will review, adjust and approve the pricing policies regularly when it deems necessary.</w:t>
      </w:r>
    </w:p>
    <w:p>
      <w:pPr>
        <w:spacing w:after="0" w:line="187" w:lineRule="exact"/>
        <w:rPr>
          <w:rFonts w:ascii="Times New Roman" w:cs="Times New Roman" w:eastAsia="Times New Roman" w:hAnsi="Times New Roman"/>
          <w:sz w:val="18"/>
          <w:szCs w:val="18"/>
          <w:color w:val="231F20"/>
        </w:rPr>
      </w:pPr>
    </w:p>
    <w:p>
      <w:pPr>
        <w:jc w:val="both"/>
        <w:ind w:left="1160" w:hanging="505"/>
        <w:spacing w:after="0" w:line="254" w:lineRule="auto"/>
        <w:tabs>
          <w:tab w:leader="none" w:pos="1160" w:val="left"/>
        </w:tabs>
        <w:numPr>
          <w:ilvl w:val="1"/>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continuing connected transactions to be conducted under the 2025 Xiaomi Cooperation Framework Agreement, the Group will ensure that the terms and conditions (including the pricing policy) of the transactions are fair and reasonable by following the below procedures: the relevant personnel of the Company’s business department will continuously monitor the terms and conditions under each specific agreement in respect of the IDC services, hardware equipment and API services to be provided by the Xiaomi Corporation for the purpose of considering if they are no less favorable to the Group than the terms available from Independent Third Parties for a similar type of services or products. In particular, before entering into specific agreements with the Xiaomi Corporation, the Company’s business department usually seeks quotations from at least two Independent Third Parties for similar services or products.</w:t>
      </w:r>
    </w:p>
    <w:p>
      <w:pPr>
        <w:spacing w:after="0" w:line="191" w:lineRule="exact"/>
        <w:rPr>
          <w:rFonts w:ascii="Times New Roman" w:cs="Times New Roman" w:eastAsia="Times New Roman" w:hAnsi="Times New Roman"/>
          <w:sz w:val="18"/>
          <w:szCs w:val="18"/>
          <w:color w:val="231F20"/>
        </w:rPr>
      </w:pPr>
    </w:p>
    <w:p>
      <w:pPr>
        <w:jc w:val="both"/>
        <w:ind w:left="480" w:hanging="473"/>
        <w:spacing w:after="0" w:line="258" w:lineRule="auto"/>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designated staff of the Company’s finance department will closely monitor the actual amounts incurred for each type of continuing connected transaction for the purpose of ensuring the relevant annual caps are not exceeded. They will closely monitor the continuing connected transactions and report the latest status to the finance department of the Company on a monthly basis. The Company’s finance department will report to the senior management on a monthly basis and to the Directors (including the independent non-executive Directors) on a half-yearly basis in relation to the transaction status.</w:t>
      </w:r>
    </w:p>
    <w:p>
      <w:pPr>
        <w:spacing w:after="0" w:line="183" w:lineRule="exact"/>
        <w:rPr>
          <w:rFonts w:ascii="Times New Roman" w:cs="Times New Roman" w:eastAsia="Times New Roman" w:hAnsi="Times New Roman"/>
          <w:sz w:val="18"/>
          <w:szCs w:val="18"/>
          <w:color w:val="auto"/>
        </w:rPr>
      </w:pPr>
    </w:p>
    <w:p>
      <w:pPr>
        <w:ind w:left="1160" w:hanging="505"/>
        <w:spacing w:after="0" w:line="282" w:lineRule="auto"/>
        <w:tabs>
          <w:tab w:leader="none" w:pos="1160" w:val="left"/>
        </w:tabs>
        <w:numPr>
          <w:ilvl w:val="1"/>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actual transaction amounts reach approximately 80% of the respective annual caps at any given time of the year, the Company’s finance department shall immediately report to the senior management.</w:t>
      </w:r>
    </w:p>
    <w:p>
      <w:pPr>
        <w:spacing w:after="0" w:line="161" w:lineRule="exact"/>
        <w:rPr>
          <w:rFonts w:ascii="Times New Roman" w:cs="Times New Roman" w:eastAsia="Times New Roman" w:hAnsi="Times New Roman"/>
          <w:sz w:val="18"/>
          <w:szCs w:val="18"/>
          <w:color w:val="231F20"/>
        </w:rPr>
      </w:pPr>
    </w:p>
    <w:p>
      <w:pPr>
        <w:jc w:val="both"/>
        <w:ind w:left="1160" w:hanging="505"/>
        <w:spacing w:after="0" w:line="266" w:lineRule="auto"/>
        <w:tabs>
          <w:tab w:leader="none" w:pos="1160" w:val="left"/>
        </w:tabs>
        <w:numPr>
          <w:ilvl w:val="1"/>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remaining cap for that year is expected to be insufficient to meet the Group’s future business needs, the senior management will report to the Board, and the Board will seek advice from its professional advisers and consider taking appropriate measures to revise the relevant annual caps in accordance with the applicable requirements under the Hong Kong Listing Rules.</w:t>
      </w:r>
    </w:p>
    <w:p>
      <w:pPr>
        <w:spacing w:after="0" w:line="175" w:lineRule="exact"/>
        <w:rPr>
          <w:rFonts w:ascii="Times New Roman" w:cs="Times New Roman" w:eastAsia="Times New Roman" w:hAnsi="Times New Roman"/>
          <w:sz w:val="18"/>
          <w:szCs w:val="18"/>
          <w:color w:val="231F20"/>
        </w:rPr>
      </w:pPr>
    </w:p>
    <w:p>
      <w:pPr>
        <w:jc w:val="both"/>
        <w:ind w:left="480" w:hanging="473"/>
        <w:spacing w:after="0" w:line="261" w:lineRule="auto"/>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non-executive Directors conduct an annual review of the continuing connected transactions and provide annual confirmations in the Company’s annual report on whether the continuing connected transactions were conducted: (1) in the ordinary and usual course of business; (2) on normal commercial terms or better and on terms that are fair and reasonable; (3) in accordance with the terms of the relevant agreements; and (4) in the interests of the Company and the Shareholders as a whole.</w:t>
      </w:r>
    </w:p>
    <w:p>
      <w:pPr>
        <w:spacing w:after="0" w:line="39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820" w:top="904" w:right="339" w:bottom="1440" w:gutter="0" w:footer="0" w:header="0"/>
        </w:sectPr>
      </w:pPr>
    </w:p>
    <w:bookmarkStart w:id="20" w:name="page21"/>
    <w:bookmarkEnd w:id="20"/>
    <w:p>
      <w:pPr>
        <w:jc w:val="both"/>
        <w:ind w:left="980" w:hanging="473"/>
        <w:spacing w:after="0" w:line="266" w:lineRule="auto"/>
        <w:tabs>
          <w:tab w:leader="none" w:pos="980" w:val="left"/>
        </w:tabs>
        <w:numPr>
          <w:ilvl w:val="1"/>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external auditors will also conduct an annual review of the Group’s continuing connected transactions and provide an annual confirmation to ensure that the transactions are conducted in accordance with the terms of the framework agreements (including the pricing policies and their annual caps) and on normal commercial terms, and are consistent with the pricing policies.</w:t>
      </w:r>
    </w:p>
    <w:p>
      <w:pPr>
        <w:spacing w:after="0" w:line="171" w:lineRule="exact"/>
        <w:rPr>
          <w:rFonts w:ascii="Times New Roman" w:cs="Times New Roman" w:eastAsia="Times New Roman" w:hAnsi="Times New Roman"/>
          <w:sz w:val="18"/>
          <w:szCs w:val="18"/>
          <w:color w:val="231F20"/>
        </w:rPr>
      </w:pPr>
    </w:p>
    <w:p>
      <w:pPr>
        <w:ind w:left="500" w:hanging="492"/>
        <w:spacing w:after="0"/>
        <w:tabs>
          <w:tab w:leader="none" w:pos="500" w:val="left"/>
        </w:tabs>
        <w:numPr>
          <w:ilvl w:val="0"/>
          <w:numId w:val="2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VIEWS OF THE BOARD</w:t>
      </w:r>
    </w:p>
    <w:p>
      <w:pPr>
        <w:spacing w:after="0" w:line="229" w:lineRule="exact"/>
        <w:rPr>
          <w:rFonts w:ascii="Times New Roman" w:cs="Times New Roman" w:eastAsia="Times New Roman" w:hAnsi="Times New Roman"/>
          <w:sz w:val="18"/>
          <w:szCs w:val="18"/>
          <w:b w:val="1"/>
          <w:bCs w:val="1"/>
          <w:color w:val="231F20"/>
        </w:rPr>
      </w:pPr>
    </w:p>
    <w:p>
      <w:pPr>
        <w:jc w:val="both"/>
        <w:ind w:left="520"/>
        <w:spacing w:after="0" w:line="258"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Mr. Qu Heng and Mr. Zhang Duo are deemed to have a material interest by virtue of his current position in Xiaomi, and therefore, Mr. Qu Heng and Mr. Zhang Duo have abstained from voting on the relevant Board resolutions approving the 2024 Xiaomi Framework Agreement and the 2025 Xiaomi Cooperation Framework Agreement and the transactions contemplated thereunder (including the proposed revised annual caps). Save as disclosed above, none of the other Directors has a material interest in such transactions and is required to abstain from voting on the relevant resolutions at the Board meeting.</w:t>
      </w:r>
    </w:p>
    <w:p>
      <w:pPr>
        <w:spacing w:after="0" w:line="183" w:lineRule="exact"/>
        <w:rPr>
          <w:rFonts w:ascii="Times New Roman" w:cs="Times New Roman" w:eastAsia="Times New Roman" w:hAnsi="Times New Roman"/>
          <w:sz w:val="18"/>
          <w:szCs w:val="18"/>
          <w:b w:val="1"/>
          <w:bCs w:val="1"/>
          <w:color w:val="231F20"/>
        </w:rPr>
      </w:pPr>
    </w:p>
    <w:p>
      <w:pPr>
        <w:jc w:val="both"/>
        <w:ind w:left="520"/>
        <w:spacing w:after="0" w:line="255"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The Directors (including the independent non-executive Directors, but excluding the Directors who are required to abstain from voting on the relevant resolutions) consider that the 2024 Xiaomi Framework Agreement and the 2025 Xiaomi Cooperation Framework Agreement and the continuing connected transactions contemplated thereunder were entered into by their respective parties after arm’s length negotiations in the ordinary and usual course of business of the Group on normal commercial terms, and that their terms and conditions and the proposed revised annual caps and/or proposed annual caps for the two years 2026 and 2027 for the procurement of IDC services and hardware equipment contemplated under the 2025 Xiaomi Cooperation Framework Agreement are fair and reasonable and in the interests of the Company and the Shareholders as a whole.</w:t>
      </w:r>
    </w:p>
    <w:p>
      <w:pPr>
        <w:spacing w:after="0" w:line="188" w:lineRule="exact"/>
        <w:rPr>
          <w:rFonts w:ascii="Times New Roman" w:cs="Times New Roman" w:eastAsia="Times New Roman" w:hAnsi="Times New Roman"/>
          <w:sz w:val="18"/>
          <w:szCs w:val="18"/>
          <w:b w:val="1"/>
          <w:bCs w:val="1"/>
          <w:color w:val="231F20"/>
        </w:rPr>
      </w:pPr>
    </w:p>
    <w:p>
      <w:pPr>
        <w:jc w:val="both"/>
        <w:ind w:left="520"/>
        <w:spacing w:after="0" w:line="254"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The Directors (excluding the Directors who are required to abstain from voting on the relevant resolutions, and the independent non-executive Directors who will provide their views after considering the advice of Somerley) consider that the 2024 Xiaomi Framework Agreement and the 2025 Xiaomi Cooperation Framework Agreement and the continuing connected transactions contemplated thereunder were entered into by their respective parties after arm’s length negotiations in the ordinary and usual course of business of the Group on normal commercial terms, and that their terms and conditions and the (i) proposed revised annual caps for the two years of 2026 and 2027 for the provision of cloud services contemplated under the 2024 Xiaomi Framework Agreement; and (ii) proposed revised annual cap for 2026 and proposed annual caps for 2027 for the procurement of hardware equipment contemplated under the 2025 Xiaomi Cooperation Framework Agreement are fair and reasonable and in the interests of the Company and the Shareholders as a whole.</w:t>
      </w:r>
    </w:p>
    <w:p>
      <w:pPr>
        <w:spacing w:after="0" w:line="191" w:lineRule="exact"/>
        <w:rPr>
          <w:rFonts w:ascii="Times New Roman" w:cs="Times New Roman" w:eastAsia="Times New Roman" w:hAnsi="Times New Roman"/>
          <w:sz w:val="18"/>
          <w:szCs w:val="18"/>
          <w:b w:val="1"/>
          <w:bCs w:val="1"/>
          <w:color w:val="231F20"/>
        </w:rPr>
      </w:pPr>
    </w:p>
    <w:p>
      <w:pPr>
        <w:jc w:val="both"/>
        <w:ind w:left="520"/>
        <w:spacing w:after="0" w:line="258"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An Independent Board Committee (comprising all independent non-executive Directors) has been established to provide advice and recommendations to the Independent Shareholders in respect of (i) the proposed revision of the annual caps for the two years of 2026 and 2027 for the provision of cloud services under the 2024 Xiaomi Framework Agreement and the transactions contemplated thereunder (if applicable) and (ii) the the annual cap for 2026 and the proposed adoption of annual cap for 2027 for the procurement of hardware equipment under the 2025 Xiaomi Cooperation Framework Agreement and the transactions contemplated thereunder (if applicable).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520"/>
        <w:spacing w:after="0" w:line="282" w:lineRule="auto"/>
        <w:rPr>
          <w:sz w:val="20"/>
          <w:szCs w:val="20"/>
          <w:color w:val="auto"/>
        </w:rPr>
      </w:pPr>
      <w:r>
        <w:rPr>
          <w:rFonts w:ascii="Times New Roman" w:cs="Times New Roman" w:eastAsia="Times New Roman" w:hAnsi="Times New Roman"/>
          <w:sz w:val="18"/>
          <w:szCs w:val="18"/>
          <w:color w:val="231F20"/>
        </w:rPr>
        <w:t>Somerley has been appointed as the Independent Financial Adviser to advise the Independent Board Committee and the Independent Shareholders in the same respect.</w:t>
      </w:r>
    </w:p>
    <w:p>
      <w:pPr>
        <w:spacing w:after="0" w:line="15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231F20"/>
        </w:rPr>
        <w:t>VI.</w:t>
        <w:tab/>
        <w:t>IMPLICATIONS UNDER THE HONG KONG LISTING RULES</w:t>
      </w:r>
    </w:p>
    <w:p>
      <w:pPr>
        <w:spacing w:after="0" w:line="22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231F20"/>
        </w:rPr>
        <w:t>As at the date of this announcement, Xiaomi directly and indirectly holds a total of approximately 10.29% of the Shares, and is therefore a connected person of the Company (as defined in the Hong Kong Listing Rules). Accordingly, pursuant to Chapter 14A of the Hong Kong Listing Rules, the entering into of the 2024 Xiaomi Framework Agreement and the 2025 Xiaomi Cooperation Framework Agreement and their respective contemplated transactions constitute continuing connected transactions of the Company.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231F20"/>
        </w:rPr>
        <w:t>2024 Xiaomi Framework Agreement</w:t>
      </w:r>
    </w:p>
    <w:p>
      <w:pPr>
        <w:spacing w:after="0" w:line="22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231F20"/>
        </w:rPr>
        <w:t>As one or more of the applicable percentage ratios in respect of the proposed revised annual caps for the two years of 2026 and 2027 for the provision of cloud services contemplated under the 2024 Xiaomi Framework Agreement are more than 5%, the provision of cloud services contemplated under the 2024 Xiaomi Framework Agreement (including the proposed revised annual caps) is subject to the reporting, annual review, announcement and Independent Shareholders’ approval requirements under Chapter 14A of the Hong Kong Listing Rules.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231F20"/>
        </w:rPr>
        <w:t>2025 Xiaomi Cooperation Framework Agreement</w:t>
      </w:r>
    </w:p>
    <w:p>
      <w:pPr>
        <w:spacing w:after="0" w:line="22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231F20"/>
        </w:rPr>
        <w:t>As one or more of the applicable percentage ratios in respect of the proposed revised annual caps and/or proposed annual caps for the two years of 2026 and 2027 for the procurement of hardware equipment contemplated under the 2025 Xiaomi Cooperation Framework Agreement exceed 5%, the procurement of hardware equipment (including the proposed revised annual caps and/or the proposed annual caps) contemplated under the 2025 Xiaomi Cooperation Framework Agreement is subject to the reporting, annual review, announcement and Independent Shareholders’ approval requirements under Chapter 14A of the Hong Kong Listing Rules.</w:t>
      </w:r>
    </w:p>
    <w:p>
      <w:pPr>
        <w:spacing w:after="0" w:line="183"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231F20"/>
        </w:rPr>
        <w:t>As one or more of the applicable percentage ratios in respect of (i) the proposed revised annual caps for the two years of 2026 and 2027 for the procurement of IDC services; and (ii) the proposed annual caps for procurement of API-related services for the period from April 23, 2026 to December 31, 2027 under the 2025 Xiaomi Cooperation Framework Agreement are higher than 0.1% but do not exceed 5%, such transactions (including the proposed revised annual caps) contemplated thereunder are subject to the reporting, announcement and annual review requirements but are exempt from the Independent Shareholders’ approval requirement under Chapter 14A of the Hong Kong Listing Rules.</w:t>
      </w:r>
    </w:p>
    <w:p>
      <w:pPr>
        <w:spacing w:after="0" w:line="183"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231F20"/>
        </w:rPr>
        <w:t>From January 1, 2026 to the date of this announcement, the actual transaction amounts for the relevant transactions (namely (1) the provision of cloud services under the 2024 Xiaomi Framework Agreement; and (2) the (i) procurement of IDC services and (ii) procurement of hardware equipment under the 2025 Xiaomi Cooperation Framework Agreement) have not exceeded their respective original annual caps for the year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231F20"/>
        </w:rPr>
        <w:t>VII.</w:t>
        <w:tab/>
        <w:t>AGM</w:t>
      </w:r>
    </w:p>
    <w:p>
      <w:pPr>
        <w:spacing w:after="0" w:line="22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231F20"/>
        </w:rPr>
        <w:t>The Company will convene an AGM to seek approval from the Independent Shareholders for (i) the proposed revision of the annual caps for the two years of 2026 and 2027 for the provision of cloud services contemplated under the 2024 Xiaomi Framework Agreement and the transactions thereunder (as applicable); and (ii) the annual cap for 2026 and the proposed adoption of the annual cap for 2027 for the procurement of hardware equipment contemplated under the 2025 Xiaomi Cooperation Framework Agreement and the transactions thereunder (as applicable).</w:t>
      </w:r>
    </w:p>
    <w:p>
      <w:pPr>
        <w:spacing w:after="0" w:line="180"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231F20"/>
        </w:rPr>
        <w:t>To the best of the knowledge and belief of the Directors, having made all reasonable enquiries, save for the Share Scheme Trustee, Xiaomi and its associates, no other Shareholder has any material interest in the proposed resolutions and/or is required to abstain from voting at the AGM.</w:t>
      </w:r>
    </w:p>
    <w:p>
      <w:pPr>
        <w:spacing w:after="0" w:line="16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231F20"/>
        </w:rPr>
        <w:t>As additional time is required to prepare the information to be contained in the circular, a circular for the AGM containing, among other things, (i) further information regarding the matters for which Independent Shareholders’ approval is sought, (ii) a letter from the Independent Board Committee to the Independent Shareholders and (iii) a letter from Somerley to the Independent Board Committee and the Independent Shareholders is expected to be despatched to the Shareholders on or around May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VIII. DEFINITIONS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In this announcement, unless the context otherwise requires, the following expressions shall have the following meanings: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ind w:left="580"/>
              <w:spacing w:after="0"/>
              <w:rPr>
                <w:sz w:val="20"/>
                <w:szCs w:val="20"/>
                <w:color w:val="auto"/>
              </w:rPr>
            </w:pPr>
            <w:r>
              <w:rPr>
                <w:rFonts w:ascii="Times New Roman" w:cs="Times New Roman" w:eastAsia="Times New Roman" w:hAnsi="Times New Roman"/>
                <w:sz w:val="18"/>
                <w:szCs w:val="18"/>
                <w:color w:val="231F20"/>
              </w:rPr>
              <w:t>“ADSs”</w:t>
            </w:r>
          </w:p>
        </w:tc>
        <w:tc>
          <w:tcPr>
            <w:tcW w:w="924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American Depositary Shares, each representing 15 Shares</w:t>
            </w:r>
          </w:p>
        </w:tc>
      </w:tr>
      <w:tr>
        <w:trPr>
          <w:trHeight w:val="414"/>
        </w:trPr>
        <w:tc>
          <w:tcPr>
            <w:tcW w:w="2000" w:type="dxa"/>
            <w:vAlign w:val="bottom"/>
          </w:tcPr>
          <w:p>
            <w:pPr>
              <w:ind w:left="580"/>
              <w:spacing w:after="0"/>
              <w:rPr>
                <w:sz w:val="20"/>
                <w:szCs w:val="20"/>
                <w:color w:val="auto"/>
              </w:rPr>
            </w:pPr>
            <w:r>
              <w:rPr>
                <w:rFonts w:ascii="Times New Roman" w:cs="Times New Roman" w:eastAsia="Times New Roman" w:hAnsi="Times New Roman"/>
                <w:sz w:val="18"/>
                <w:szCs w:val="18"/>
                <w:color w:val="231F20"/>
              </w:rPr>
              <w:t>“AGM”</w:t>
            </w:r>
          </w:p>
        </w:tc>
        <w:tc>
          <w:tcPr>
            <w:tcW w:w="924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the annual general meeting of the Company to be convened at or around 10:00 a.m. (Hong Kong time) on June 30,</w:t>
            </w:r>
          </w:p>
        </w:tc>
      </w:tr>
      <w:tr>
        <w:trPr>
          <w:trHeight w:val="216"/>
        </w:trPr>
        <w:tc>
          <w:tcPr>
            <w:tcW w:w="2000" w:type="dxa"/>
            <w:vAlign w:val="bottom"/>
          </w:tcPr>
          <w:p>
            <w:pPr>
              <w:spacing w:after="0"/>
              <w:rPr>
                <w:sz w:val="18"/>
                <w:szCs w:val="18"/>
                <w:color w:val="auto"/>
              </w:rPr>
            </w:pPr>
          </w:p>
        </w:tc>
        <w:tc>
          <w:tcPr>
            <w:tcW w:w="924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2026 to consider and, if thought fit, approve, among other things, (i) the proposed revision of the annual caps for the</w:t>
            </w:r>
          </w:p>
        </w:tc>
      </w:tr>
      <w:tr>
        <w:trPr>
          <w:trHeight w:val="216"/>
        </w:trPr>
        <w:tc>
          <w:tcPr>
            <w:tcW w:w="2000" w:type="dxa"/>
            <w:vAlign w:val="bottom"/>
          </w:tcPr>
          <w:p>
            <w:pPr>
              <w:spacing w:after="0"/>
              <w:rPr>
                <w:sz w:val="18"/>
                <w:szCs w:val="18"/>
                <w:color w:val="auto"/>
              </w:rPr>
            </w:pPr>
          </w:p>
        </w:tc>
        <w:tc>
          <w:tcPr>
            <w:tcW w:w="924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two years of 2026 and 2027 for the provision of cloud services contemplated under the 2024 Xiaomi Framework</w:t>
            </w:r>
          </w:p>
        </w:tc>
      </w:tr>
      <w:tr>
        <w:trPr>
          <w:trHeight w:val="216"/>
        </w:trPr>
        <w:tc>
          <w:tcPr>
            <w:tcW w:w="2000" w:type="dxa"/>
            <w:vAlign w:val="bottom"/>
          </w:tcPr>
          <w:p>
            <w:pPr>
              <w:spacing w:after="0"/>
              <w:rPr>
                <w:sz w:val="18"/>
                <w:szCs w:val="18"/>
                <w:color w:val="auto"/>
              </w:rPr>
            </w:pPr>
          </w:p>
        </w:tc>
        <w:tc>
          <w:tcPr>
            <w:tcW w:w="924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Agreement and the transactions thereunder (as applicable); and/or (ii) the annual cap for 2026 and the proposed</w:t>
            </w:r>
          </w:p>
        </w:tc>
      </w:tr>
      <w:tr>
        <w:trPr>
          <w:trHeight w:val="216"/>
        </w:trPr>
        <w:tc>
          <w:tcPr>
            <w:tcW w:w="2000" w:type="dxa"/>
            <w:vAlign w:val="bottom"/>
          </w:tcPr>
          <w:p>
            <w:pPr>
              <w:spacing w:after="0"/>
              <w:rPr>
                <w:sz w:val="18"/>
                <w:szCs w:val="18"/>
                <w:color w:val="auto"/>
              </w:rPr>
            </w:pPr>
          </w:p>
        </w:tc>
        <w:tc>
          <w:tcPr>
            <w:tcW w:w="924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adoption of annual cap for 2027 for the procurement of hardware equipment contemplated under the 2025 Xiaomi</w:t>
            </w:r>
          </w:p>
        </w:tc>
      </w:tr>
      <w:tr>
        <w:trPr>
          <w:trHeight w:val="234"/>
        </w:trPr>
        <w:tc>
          <w:tcPr>
            <w:tcW w:w="2000" w:type="dxa"/>
            <w:vAlign w:val="bottom"/>
          </w:tcPr>
          <w:p>
            <w:pPr>
              <w:spacing w:after="0"/>
              <w:rPr>
                <w:sz w:val="20"/>
                <w:szCs w:val="20"/>
                <w:color w:val="auto"/>
              </w:rPr>
            </w:pPr>
          </w:p>
        </w:tc>
        <w:tc>
          <w:tcPr>
            <w:tcW w:w="924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Cooperation Framework Agreement and the transactions thereunder (as applicable), or any adjournment thereof</w:t>
            </w:r>
          </w:p>
        </w:tc>
      </w:tr>
      <w:tr>
        <w:trPr>
          <w:trHeight w:val="432"/>
        </w:trPr>
        <w:tc>
          <w:tcPr>
            <w:tcW w:w="2000" w:type="dxa"/>
            <w:vAlign w:val="bottom"/>
          </w:tcPr>
          <w:p>
            <w:pPr>
              <w:ind w:left="580"/>
              <w:spacing w:after="0"/>
              <w:rPr>
                <w:sz w:val="20"/>
                <w:szCs w:val="20"/>
                <w:color w:val="auto"/>
              </w:rPr>
            </w:pPr>
            <w:r>
              <w:rPr>
                <w:rFonts w:ascii="Times New Roman" w:cs="Times New Roman" w:eastAsia="Times New Roman" w:hAnsi="Times New Roman"/>
                <w:sz w:val="18"/>
                <w:szCs w:val="18"/>
                <w:color w:val="231F20"/>
              </w:rPr>
              <w:t>“API”</w:t>
            </w:r>
          </w:p>
        </w:tc>
        <w:tc>
          <w:tcPr>
            <w:tcW w:w="924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Application Programming Interface</w:t>
            </w:r>
          </w:p>
        </w:tc>
      </w:tr>
      <w:tr>
        <w:trPr>
          <w:trHeight w:val="648"/>
        </w:trPr>
        <w:tc>
          <w:tcPr>
            <w:tcW w:w="200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240"/>
          </w:cols>
          <w:pgMar w:left="320" w:top="900" w:right="339"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8"/>
          <w:szCs w:val="18"/>
          <w:color w:val="auto"/>
        </w:rPr>
        <w:t>associate(s)”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ascribed to it under the Hong Kong Listing Rules</w:t>
      </w:r>
    </w:p>
    <w:p>
      <w:pPr>
        <w:spacing w:after="0" w:line="211" w:lineRule="exact"/>
        <w:rPr>
          <w:sz w:val="20"/>
          <w:szCs w:val="20"/>
          <w:color w:val="auto"/>
        </w:rPr>
      </w:pPr>
    </w:p>
    <w:p>
      <w:pPr>
        <w:sectPr>
          <w:pgSz w:w="11900" w:h="16838" w:orient="portrait"/>
          <w:cols w:equalWidth="0" w:num="2">
            <w:col w:w="2100" w:space="720"/>
            <w:col w:w="8420"/>
          </w:cols>
          <w:pgMar w:left="320" w:top="904" w:right="339" w:bottom="1440" w:gutter="0" w:footer="0" w:header="0"/>
        </w:sectPr>
      </w:pPr>
    </w:p>
    <w:p>
      <w:pPr>
        <w:spacing w:after="0" w:line="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“Board”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w:t>
      </w:r>
    </w:p>
    <w:p>
      <w:pPr>
        <w:spacing w:after="0" w:line="211" w:lineRule="exact"/>
        <w:rPr>
          <w:sz w:val="20"/>
          <w:szCs w:val="20"/>
          <w:color w:val="auto"/>
        </w:rPr>
      </w:pPr>
    </w:p>
    <w:p>
      <w:pPr>
        <w:sectPr>
          <w:pgSz w:w="11900" w:h="16838" w:orient="portrait"/>
          <w:cols w:equalWidth="0" w:num="2">
            <w:col w:w="2100" w:space="720"/>
            <w:col w:w="8420"/>
          </w:cols>
          <w:pgMar w:left="320" w:top="904" w:right="339" w:bottom="1440" w:gutter="0" w:footer="0" w:header="0"/>
          <w:type w:val="continuous"/>
        </w:sectPr>
      </w:pPr>
    </w:p>
    <w:p>
      <w:pPr>
        <w:spacing w:after="0" w:line="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Kingsoft Cloud Holdings Limited, an exempted company with limited liability incorporated in the Cayman Islands on January 3, 2012, whose ADSs were listed on Nasdaq in May 2020, and whose ordinary Shares were listed on the Main Board of the Hong Kong Stock Exchange on December 30, 2022</w:t>
      </w:r>
    </w:p>
    <w:p>
      <w:pPr>
        <w:spacing w:after="0" w:line="176" w:lineRule="exact"/>
        <w:rPr>
          <w:sz w:val="20"/>
          <w:szCs w:val="20"/>
          <w:color w:val="auto"/>
        </w:rPr>
      </w:pPr>
    </w:p>
    <w:p>
      <w:pPr>
        <w:sectPr>
          <w:pgSz w:w="11900" w:h="16838" w:orient="portrait"/>
          <w:cols w:equalWidth="0" w:num="2">
            <w:col w:w="2100" w:space="720"/>
            <w:col w:w="8420"/>
          </w:cols>
          <w:pgMar w:left="320" w:top="904"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“China”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People’s Republic of China</w:t>
      </w:r>
    </w:p>
    <w:p>
      <w:pPr>
        <w:spacing w:after="0" w:line="200" w:lineRule="exact"/>
        <w:rPr>
          <w:sz w:val="20"/>
          <w:szCs w:val="20"/>
          <w:color w:val="auto"/>
        </w:rPr>
      </w:pPr>
    </w:p>
    <w:p>
      <w:pPr>
        <w:sectPr>
          <w:pgSz w:w="11900" w:h="16838" w:orient="portrait"/>
          <w:cols w:equalWidth="0" w:num="2">
            <w:col w:w="2100" w:space="720"/>
            <w:col w:w="8420"/>
          </w:cols>
          <w:pgMar w:left="320" w:top="904" w:right="339" w:bottom="1440" w:gutter="0" w:footer="0" w:header="0"/>
          <w:type w:val="continuous"/>
        </w:sectPr>
      </w:pPr>
    </w:p>
    <w:p>
      <w:pPr>
        <w:spacing w:after="0" w:line="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“connected person(s)”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ascribed to it under the Hong Kong Listing Rules</w:t>
      </w:r>
    </w:p>
    <w:p>
      <w:pPr>
        <w:spacing w:after="0" w:line="200" w:lineRule="exact"/>
        <w:rPr>
          <w:sz w:val="20"/>
          <w:szCs w:val="20"/>
          <w:color w:val="auto"/>
        </w:rPr>
      </w:pPr>
    </w:p>
    <w:p>
      <w:pPr>
        <w:sectPr>
          <w:pgSz w:w="11900" w:h="16838" w:orient="portrait"/>
          <w:cols w:equalWidth="0" w:num="2">
            <w:col w:w="2180" w:space="640"/>
            <w:col w:w="8420"/>
          </w:cols>
          <w:pgMar w:left="320" w:top="904" w:right="339" w:bottom="1440" w:gutter="0" w:footer="0" w:header="0"/>
          <w:type w:val="continuous"/>
        </w:sectPr>
      </w:pPr>
    </w:p>
    <w:p>
      <w:pPr>
        <w:spacing w:after="0" w:line="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“connected transaction(s)”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ascribed to it under the Hong Kong Listing Rules</w:t>
      </w:r>
    </w:p>
    <w:p>
      <w:pPr>
        <w:spacing w:after="0" w:line="200" w:lineRule="exact"/>
        <w:rPr>
          <w:sz w:val="20"/>
          <w:szCs w:val="20"/>
          <w:color w:val="auto"/>
        </w:rPr>
      </w:pPr>
    </w:p>
    <w:p>
      <w:pPr>
        <w:sectPr>
          <w:pgSz w:w="11900" w:h="16838" w:orient="portrait"/>
          <w:cols w:equalWidth="0" w:num="2">
            <w:col w:w="2480" w:space="340"/>
            <w:col w:w="8420"/>
          </w:cols>
          <w:pgMar w:left="320" w:top="904" w:right="339" w:bottom="1440" w:gutter="0" w:footer="0" w:header="0"/>
          <w:type w:val="continuous"/>
        </w:sectPr>
      </w:pPr>
    </w:p>
    <w:p>
      <w:pPr>
        <w:spacing w:after="0" w:line="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“Director(s)”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director(s) of the Company</w:t>
      </w:r>
    </w:p>
    <w:p>
      <w:pPr>
        <w:spacing w:after="0" w:line="200" w:lineRule="exact"/>
        <w:rPr>
          <w:sz w:val="20"/>
          <w:szCs w:val="20"/>
          <w:color w:val="auto"/>
        </w:rPr>
      </w:pPr>
    </w:p>
    <w:p>
      <w:pPr>
        <w:sectPr>
          <w:pgSz w:w="11900" w:h="16838" w:orient="portrait"/>
          <w:cols w:equalWidth="0" w:num="2">
            <w:col w:w="2100" w:space="720"/>
            <w:col w:w="8420"/>
          </w:cols>
          <w:pgMar w:left="320" w:top="904" w:right="339" w:bottom="1440" w:gutter="0" w:footer="0" w:header="0"/>
          <w:type w:val="continuous"/>
        </w:sectPr>
      </w:pPr>
    </w:p>
    <w:p>
      <w:pPr>
        <w:spacing w:after="0" w:line="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“Group”</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its subsidiaries and its consolidated affiliated entities from time to time</w:t>
      </w:r>
    </w:p>
    <w:p>
      <w:pPr>
        <w:spacing w:after="0" w:line="211" w:lineRule="exact"/>
        <w:rPr>
          <w:sz w:val="20"/>
          <w:szCs w:val="20"/>
          <w:color w:val="auto"/>
        </w:rPr>
      </w:pPr>
    </w:p>
    <w:p>
      <w:pPr>
        <w:sectPr>
          <w:pgSz w:w="11900" w:h="16838" w:orient="portrait"/>
          <w:cols w:equalWidth="0" w:num="2">
            <w:col w:w="2100" w:space="720"/>
            <w:col w:w="8420"/>
          </w:cols>
          <w:pgMar w:left="320" w:top="904" w:right="339" w:bottom="1440" w:gutter="0" w:footer="0" w:header="0"/>
          <w:type w:val="continuous"/>
        </w:sectPr>
      </w:pPr>
    </w:p>
    <w:p>
      <w:pPr>
        <w:spacing w:after="0" w:line="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“Hong Kong”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Hong Kong Special Administrative Region of the People’s Republic of China</w:t>
      </w:r>
    </w:p>
    <w:p>
      <w:pPr>
        <w:spacing w:after="0" w:line="200" w:lineRule="exact"/>
        <w:rPr>
          <w:sz w:val="20"/>
          <w:szCs w:val="20"/>
          <w:color w:val="auto"/>
        </w:rPr>
      </w:pPr>
    </w:p>
    <w:p>
      <w:pPr>
        <w:sectPr>
          <w:pgSz w:w="11900" w:h="16838" w:orient="portrait"/>
          <w:cols w:equalWidth="0" w:num="2">
            <w:col w:w="2100" w:space="720"/>
            <w:col w:w="8420"/>
          </w:cols>
          <w:pgMar w:left="320" w:top="904" w:right="339" w:bottom="1440" w:gutter="0" w:footer="0" w:header="0"/>
          <w:type w:val="continuous"/>
        </w:sectPr>
      </w:pPr>
    </w:p>
    <w:p>
      <w:pPr>
        <w:spacing w:after="0" w:line="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“Hong Kong Listing Rules”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Rules Governing the Listing of Securities on The Stock Exchange of Hong Kong Limited (as amended, supplemented or otherwise modified from time to time)</w:t>
      </w:r>
    </w:p>
    <w:p>
      <w:pPr>
        <w:spacing w:after="0" w:line="162" w:lineRule="exact"/>
        <w:rPr>
          <w:sz w:val="20"/>
          <w:szCs w:val="20"/>
          <w:color w:val="auto"/>
        </w:rPr>
      </w:pPr>
    </w:p>
    <w:p>
      <w:pPr>
        <w:sectPr>
          <w:pgSz w:w="11900" w:h="16838" w:orient="portrait"/>
          <w:cols w:equalWidth="0" w:num="2">
            <w:col w:w="2580" w:space="240"/>
            <w:col w:w="8420"/>
          </w:cols>
          <w:pgMar w:left="320" w:top="904"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color w:val="auto"/>
        </w:rPr>
        <w:t>“Hong Kong Stock Exchange” the Stock Exchange of Hong Kong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“IDC”</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Internet Data Center</w:t>
            </w:r>
          </w:p>
        </w:tc>
      </w:tr>
      <w:tr>
        <w:trPr>
          <w:trHeight w:val="414"/>
        </w:trPr>
        <w:tc>
          <w:tcPr>
            <w:tcW w:w="2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“Independent Board</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independent Board committee of the Company, comprising all independent non-executive Directors, namely Mr.</w:t>
            </w:r>
          </w:p>
        </w:tc>
      </w:tr>
      <w:tr>
        <w:trPr>
          <w:trHeight w:val="234"/>
        </w:trPr>
        <w:tc>
          <w:tcPr>
            <w:tcW w:w="24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Committee”</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Yu Mingto, Mr. Wang Hang and Ms. Qu Jingyuan</w:t>
            </w:r>
          </w:p>
        </w:tc>
      </w:tr>
      <w:tr>
        <w:trPr>
          <w:trHeight w:val="648"/>
        </w:trPr>
        <w:tc>
          <w:tcPr>
            <w:tcW w:w="24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240"/>
          </w:cols>
          <w:pgMar w:left="320" w:top="904" w:right="339" w:bottom="1440" w:gutter="0" w:footer="0" w:header="0"/>
          <w:type w:val="continuous"/>
        </w:sectPr>
      </w:pPr>
    </w:p>
    <w:bookmarkStart w:id="24" w:name="page25"/>
    <w:bookmarkEnd w:id="24"/>
    <w:p>
      <w:pPr>
        <w:ind w:left="580"/>
        <w:spacing w:after="0"/>
        <w:rPr>
          <w:sz w:val="20"/>
          <w:szCs w:val="20"/>
          <w:color w:val="auto"/>
        </w:rPr>
      </w:pPr>
      <w:r>
        <w:rPr>
          <w:rFonts w:ascii="Times New Roman" w:cs="Times New Roman" w:eastAsia="Times New Roman" w:hAnsi="Times New Roman"/>
          <w:sz w:val="18"/>
          <w:szCs w:val="18"/>
          <w:color w:val="auto"/>
        </w:rPr>
        <w:t>“Independent Financial</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Adviser” or “Somerley”</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Somerley Capital Limited, a licensed corporation to carry out Type 1 (dealing in securities) and Type 6 (advising on corporate finance) regulated activities under the Securities and Futures Ordinance (Chapter 571 of the Laws of Hong Kong), being the independent financial adviser to the Independent Board Committee and the Independent Shareholders in respect of (i) the proposed revision of the annual caps for the two years of 2026 and 2027 for the provision of cloud services contemplated under the 2024 Xiaomi Framework Agreement and the transactions thereunder (as applicable); and/or (ii) the annual cap for 2026 and annual cap for 2027 for the procurement of hardware equipment contemplated under the 2025 Xiaomi Cooperation Framework Agreement and the transactions thereunder (as applicable)</w:t>
      </w:r>
    </w:p>
    <w:p>
      <w:pPr>
        <w:spacing w:after="0" w:line="192" w:lineRule="exact"/>
        <w:rPr>
          <w:sz w:val="20"/>
          <w:szCs w:val="20"/>
          <w:color w:val="auto"/>
        </w:rPr>
      </w:pPr>
    </w:p>
    <w:p>
      <w:pPr>
        <w:sectPr>
          <w:pgSz w:w="11900" w:h="16838" w:orient="portrait"/>
          <w:cols w:equalWidth="0" w:num="2">
            <w:col w:w="2480" w:space="340"/>
            <w:col w:w="8420"/>
          </w:cols>
          <w:pgMar w:left="320" w:top="904" w:right="339" w:bottom="1440" w:gutter="0" w:footer="0" w:header="0"/>
        </w:sectPr>
      </w:pPr>
    </w:p>
    <w:p>
      <w:pPr>
        <w:jc w:val="both"/>
        <w:ind w:left="2820" w:hanging="2240"/>
        <w:spacing w:after="0" w:line="256" w:lineRule="auto"/>
        <w:rPr>
          <w:sz w:val="20"/>
          <w:szCs w:val="20"/>
          <w:color w:val="auto"/>
        </w:rPr>
      </w:pPr>
      <w:r>
        <w:rPr>
          <w:rFonts w:ascii="Times New Roman" w:cs="Times New Roman" w:eastAsia="Times New Roman" w:hAnsi="Times New Roman"/>
          <w:sz w:val="18"/>
          <w:szCs w:val="18"/>
          <w:color w:val="auto"/>
        </w:rPr>
        <w:t>“Independent Shareholder(s)” Shareholder(s) who is/are not required to abstain from voting on the resolution(s) at the AGM to approve (if applicable) (i) the proposed revision of the annual caps for the two years of 2026 and 2027 for the provision of cloud services under the 2024 Xiaomi Framework Agreement and the transactions thereunder (if applicable); and/or (ii) the annual cap for 2026 and the proposed adoption of annual cap for 2027 for the procurement of hardware equipment under the 2025 Xiaomi Cooperation Framework Agreement and the transactions thereunder (if applicable)</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“Independent Third Party(ies)”individuals or companies independent of the Company and its connected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“MiMo Model”</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series of foundation models released by Xiaomi since 2025</w:t>
            </w:r>
          </w:p>
        </w:tc>
      </w:tr>
      <w:tr>
        <w:trPr>
          <w:trHeight w:val="432"/>
        </w:trPr>
        <w:tc>
          <w:tcPr>
            <w:tcW w:w="2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“RMB”</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Renminbi, the lawful currency of the PRC</w:t>
            </w:r>
          </w:p>
        </w:tc>
      </w:tr>
      <w:tr>
        <w:trPr>
          <w:trHeight w:val="432"/>
        </w:trPr>
        <w:tc>
          <w:tcPr>
            <w:tcW w:w="2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“Share(s)”</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ordinary share(s) of par value USD0.001 each in the share capital of the Company</w:t>
            </w:r>
          </w:p>
        </w:tc>
      </w:tr>
      <w:tr>
        <w:trPr>
          <w:trHeight w:val="432"/>
        </w:trPr>
        <w:tc>
          <w:tcPr>
            <w:tcW w:w="2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“Shareholder(s)”</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shareholder(s) of the Company</w:t>
            </w:r>
          </w:p>
        </w:tc>
      </w:tr>
      <w:tr>
        <w:trPr>
          <w:trHeight w:val="432"/>
        </w:trPr>
        <w:tc>
          <w:tcPr>
            <w:tcW w:w="2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“subsidiary(ies)”</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has the meaning ascribed to it under the Hong Kong Listing Rules</w:t>
            </w:r>
          </w:p>
        </w:tc>
      </w:tr>
      <w:tr>
        <w:trPr>
          <w:trHeight w:val="414"/>
        </w:trPr>
        <w:tc>
          <w:tcPr>
            <w:tcW w:w="2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“Supplemental Agreement”</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the supplemental agreement entered into between Xiaomi and the Company on April 23, 2026 in relation to the 2025</w:t>
            </w:r>
          </w:p>
        </w:tc>
      </w:tr>
      <w:tr>
        <w:trPr>
          <w:trHeight w:val="234"/>
        </w:trPr>
        <w:tc>
          <w:tcPr>
            <w:tcW w:w="270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Xiaomi Cooperation Framework Agreement</w:t>
            </w:r>
          </w:p>
        </w:tc>
      </w:tr>
      <w:tr>
        <w:trPr>
          <w:trHeight w:val="648"/>
        </w:trPr>
        <w:tc>
          <w:tcPr>
            <w:tcW w:w="27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84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240"/>
          </w:cols>
          <w:pgMar w:left="320" w:top="904" w:right="339" w:bottom="1440" w:gutter="0" w:footer="0" w:header="0"/>
          <w:type w:val="continuous"/>
        </w:sectPr>
      </w:pPr>
    </w:p>
    <w:bookmarkStart w:id="25" w:name="page26"/>
    <w:bookmarkEnd w:id="25"/>
    <w:p>
      <w:pPr>
        <w:ind w:left="580"/>
        <w:spacing w:after="0"/>
        <w:rPr>
          <w:sz w:val="20"/>
          <w:szCs w:val="20"/>
          <w:color w:val="auto"/>
        </w:rPr>
      </w:pPr>
      <w:r>
        <w:rPr>
          <w:rFonts w:ascii="Times New Roman" w:cs="Times New Roman" w:eastAsia="Times New Roman" w:hAnsi="Times New Roman"/>
          <w:sz w:val="18"/>
          <w:szCs w:val="18"/>
          <w:color w:val="auto"/>
        </w:rPr>
        <w:t>“Xiaomi”</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Xiaomi Corporation, a company with limited liability incorporated in the Cayman Islands on January 5, 2010, with its Class B ordinary shares listed on the Hong Kong Stock Exchange (Stock Codes: 1810 (HKD counter) and 81810 (RMB counter)), a substantial shareholder of the Company (as defined in the Hong Kong Listing Rules)</w:t>
      </w:r>
    </w:p>
    <w:p>
      <w:pPr>
        <w:spacing w:after="0" w:line="176" w:lineRule="exact"/>
        <w:rPr>
          <w:sz w:val="20"/>
          <w:szCs w:val="20"/>
          <w:color w:val="auto"/>
        </w:rPr>
      </w:pPr>
    </w:p>
    <w:p>
      <w:pPr>
        <w:sectPr>
          <w:pgSz w:w="11900" w:h="16838" w:orient="portrait"/>
          <w:cols w:equalWidth="0" w:num="2">
            <w:col w:w="2100" w:space="720"/>
            <w:col w:w="8420"/>
          </w:cols>
          <w:pgMar w:left="320" w:top="904" w:right="339" w:bottom="1440" w:gutter="0" w:footer="0" w:header="0"/>
        </w:sectPr>
      </w:pPr>
    </w:p>
    <w:p>
      <w:pPr>
        <w:jc w:val="center"/>
        <w:ind w:left="580"/>
        <w:spacing w:after="0"/>
        <w:rPr>
          <w:sz w:val="20"/>
          <w:szCs w:val="20"/>
          <w:color w:val="auto"/>
        </w:rPr>
      </w:pPr>
      <w:r>
        <w:rPr>
          <w:rFonts w:ascii="Times New Roman" w:cs="Times New Roman" w:eastAsia="Times New Roman" w:hAnsi="Times New Roman"/>
          <w:sz w:val="17"/>
          <w:szCs w:val="17"/>
          <w:color w:val="auto"/>
        </w:rPr>
        <w:t>“Xiaomi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Xiaomi Corporation, its subsidiaries and consolidated affiliated entities</w:t>
      </w:r>
    </w:p>
    <w:p>
      <w:pPr>
        <w:spacing w:after="0" w:line="200" w:lineRule="exact"/>
        <w:rPr>
          <w:sz w:val="20"/>
          <w:szCs w:val="20"/>
          <w:color w:val="auto"/>
        </w:rPr>
      </w:pPr>
    </w:p>
    <w:p>
      <w:pPr>
        <w:sectPr>
          <w:pgSz w:w="11900" w:h="16838" w:orient="portrait"/>
          <w:cols w:equalWidth="0" w:num="2">
            <w:col w:w="2180" w:space="640"/>
            <w:col w:w="8420"/>
          </w:cols>
          <w:pgMar w:left="320" w:top="904" w:right="339" w:bottom="1440" w:gutter="0" w:footer="0" w:header="0"/>
          <w:type w:val="continuous"/>
        </w:sectPr>
      </w:pPr>
    </w:p>
    <w:p>
      <w:pPr>
        <w:spacing w:after="0" w:line="37" w:lineRule="exact"/>
        <w:rPr>
          <w:sz w:val="20"/>
          <w:szCs w:val="20"/>
          <w:color w:val="auto"/>
        </w:rPr>
      </w:pPr>
    </w:p>
    <w:p>
      <w:pPr>
        <w:jc w:val="right"/>
        <w:ind w:left="580"/>
        <w:spacing w:after="0" w:line="312" w:lineRule="auto"/>
        <w:rPr>
          <w:sz w:val="20"/>
          <w:szCs w:val="20"/>
          <w:color w:val="auto"/>
        </w:rPr>
      </w:pPr>
      <w:r>
        <w:rPr>
          <w:rFonts w:ascii="Times New Roman" w:cs="Times New Roman" w:eastAsia="Times New Roman" w:hAnsi="Times New Roman"/>
          <w:sz w:val="17"/>
          <w:szCs w:val="17"/>
          <w:color w:val="auto"/>
        </w:rPr>
        <w:t>“2025 Xiaomi Cooperation Framework Agreement”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Xiaomi Cooperation Framework Agreement entered into between Xiaomi and the Company on July 29, 2025 in relation to the procurement of IDC-related services and hardware equipment by the Group from the Xiaomi Corporation</w:t>
      </w:r>
    </w:p>
    <w:p>
      <w:pPr>
        <w:spacing w:after="0" w:line="176" w:lineRule="exact"/>
        <w:rPr>
          <w:sz w:val="20"/>
          <w:szCs w:val="20"/>
          <w:color w:val="auto"/>
        </w:rPr>
      </w:pPr>
    </w:p>
    <w:p>
      <w:pPr>
        <w:sectPr>
          <w:pgSz w:w="11900" w:h="16838" w:orient="portrait"/>
          <w:cols w:equalWidth="0" w:num="2">
            <w:col w:w="2540" w:space="280"/>
            <w:col w:w="8420"/>
          </w:cols>
          <w:pgMar w:left="320" w:top="904"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“2024 Xiaomi Framework</w:t>
      </w:r>
    </w:p>
    <w:p>
      <w:pPr>
        <w:spacing w:after="0" w:line="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Agreement”</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cooperation and service framework agreement entered into between Xiaomi and the Company on November 19, 2024 in relation to the provision of cloud services and the acceptance of financing services (including the sale-and-leaseback finance lease, the direct finance lease, the factoring and the secured loan) by the Group</w:t>
      </w:r>
    </w:p>
    <w:p>
      <w:pPr>
        <w:spacing w:after="0" w:line="176" w:lineRule="exact"/>
        <w:rPr>
          <w:sz w:val="20"/>
          <w:szCs w:val="20"/>
          <w:color w:val="auto"/>
        </w:rPr>
      </w:pPr>
    </w:p>
    <w:p>
      <w:pPr>
        <w:sectPr>
          <w:pgSz w:w="11900" w:h="16838" w:orient="portrait"/>
          <w:cols w:equalWidth="0" w:num="2">
            <w:col w:w="2480" w:space="340"/>
            <w:col w:w="8420"/>
          </w:cols>
          <w:pgMar w:left="320" w:top="904"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2100" w:space="720"/>
            <w:col w:w="8420"/>
          </w:cols>
          <w:pgMar w:left="320" w:top="904" w:right="339" w:bottom="1440" w:gutter="0" w:footer="0" w:header="0"/>
          <w:type w:val="continuous"/>
        </w:sectPr>
      </w:pPr>
    </w:p>
    <w:p>
      <w:pPr>
        <w:spacing w:after="0" w:line="64"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231F20"/>
        </w:rPr>
        <w:t>Kingsoft Cloud Holdings Limited</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231F20"/>
        </w:rPr>
        <w:t>Mr. Zou Tao</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i w:val="1"/>
          <w:iCs w:val="1"/>
          <w:color w:val="231F20"/>
        </w:rPr>
        <w:t>Chairman of the Board, Executive Director</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i w:val="1"/>
          <w:iCs w:val="1"/>
          <w:color w:val="231F20"/>
        </w:rPr>
        <w:t>and acting Chief Executive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Hong Kong, April 23, 2026</w:t>
      </w:r>
    </w:p>
    <w:p>
      <w:pPr>
        <w:spacing w:after="0" w:line="22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231F20"/>
        </w:rPr>
        <w:t>As at the date of this announcement, the Board comprises Mr. Zou Tao as chairman and executive Director, Mr. Qu Heng and Mr. Zhang Duo as non-executive Directors, and Mr. Yu Mingto, Mr. Wang Hang and Ms. Qu Jingyuan as independent non-executive Directors.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9"/>
    </w:lvl>
  </w:abstractNum>
  <w:abstractNum w:abstractNumId="1">
    <w:nsid w:val="41A7C4C9"/>
    <w:multiLevelType w:val="hybridMultilevel"/>
    <w:lvl w:ilvl="0">
      <w:lvlJc w:val="left"/>
      <w:lvlText w:val="%1."/>
      <w:numFmt w:val="upperLetter"/>
      <w:start w:val="35"/>
    </w:lvl>
  </w:abstractNum>
  <w:abstractNum w:abstractNumId="2">
    <w:nsid w:val="6B68079A"/>
    <w:multiLevelType w:val="hybridMultilevel"/>
    <w:lvl w:ilvl="0">
      <w:lvlJc w:val="left"/>
      <w:lvlText w:val="%1."/>
      <w:numFmt w:val="upperLetter"/>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2"/>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lowerRoman"/>
      <w:start w:val="1"/>
    </w:lvl>
  </w:abstractNum>
  <w:abstractNum w:abstractNumId="9">
    <w:nsid w:val="257130A3"/>
    <w:multiLevelType w:val="hybridMultilevel"/>
    <w:lvl w:ilvl="0">
      <w:lvlJc w:val="left"/>
      <w:lvlText w:val="(%1)"/>
      <w:numFmt w:val="lowerRoman"/>
      <w:start w:val="2"/>
    </w:lvl>
    <w:lvl w:ilvl="1">
      <w:lvlJc w:val="left"/>
      <w:lvlText w:val="·"/>
      <w:numFmt w:val="bullet"/>
      <w:start w:val="1"/>
    </w:lvl>
  </w:abstractNum>
  <w:abstractNum w:abstractNumId="10">
    <w:nsid w:val="62BBD95A"/>
    <w:multiLevelType w:val="hybridMultilevel"/>
    <w:lvl w:ilvl="0">
      <w:lvlJc w:val="left"/>
      <w:lvlText w:val="%1."/>
      <w:numFmt w:val="decimal"/>
      <w:start w:val="3"/>
    </w:lvl>
  </w:abstractNum>
  <w:abstractNum w:abstractNumId="11">
    <w:nsid w:val="436C6125"/>
    <w:multiLevelType w:val="hybridMultilevel"/>
    <w:lvl w:ilvl="0">
      <w:lvlJc w:val="left"/>
      <w:lvlText w:val="%1."/>
      <w:numFmt w:val="upperLetter"/>
      <w:start w:val="2"/>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lowerRoman"/>
      <w:start w:val="2"/>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1)"/>
      <w:numFmt w:val="decimal"/>
      <w:start w:val="1"/>
    </w:lvl>
    <w:lvl w:ilvl="1">
      <w:lvlJc w:val="left"/>
      <w:lvlText w:val="(%2)"/>
      <w:numFmt w:val="lowerRoman"/>
      <w:start w:val="1"/>
    </w:lvl>
  </w:abstractNum>
  <w:abstractNum w:abstractNumId="16">
    <w:nsid w:val="2D1D5AE9"/>
    <w:multiLevelType w:val="hybridMultilevel"/>
    <w:lvl w:ilvl="0">
      <w:lvlJc w:val="left"/>
      <w:lvlText w:val="(%1)"/>
      <w:numFmt w:val="decimal"/>
      <w:start w:val="2"/>
    </w:lvl>
    <w:lvl w:ilvl="1">
      <w:lvlJc w:val="left"/>
      <w:lvlText w:val="(%2)"/>
      <w:numFmt w:val="lowerRoman"/>
      <w:start w:val="1"/>
    </w:lvl>
  </w:abstractNum>
  <w:abstractNum w:abstractNumId="17">
    <w:nsid w:val="6763845E"/>
    <w:multiLevelType w:val="hybridMultilevel"/>
    <w:lvl w:ilvl="0">
      <w:lvlJc w:val="left"/>
      <w:lvlText w:val="(%1)"/>
      <w:numFmt w:val="lowerRoman"/>
      <w:start w:val="3"/>
    </w:lvl>
  </w:abstractNum>
  <w:abstractNum w:abstractNumId="18">
    <w:nsid w:val="75A2A8D4"/>
    <w:multiLevelType w:val="hybridMultilevel"/>
    <w:lvl w:ilvl="0">
      <w:lvlJc w:val="left"/>
      <w:lvlText w:val="(%1)"/>
      <w:numFmt w:val="lowerRoman"/>
      <w:start w:val="2"/>
    </w:lvl>
  </w:abstractNum>
  <w:abstractNum w:abstractNumId="19">
    <w:nsid w:val="8EDBDAB"/>
    <w:multiLevelType w:val="hybridMultilevel"/>
    <w:lvl w:ilvl="0">
      <w:lvlJc w:val="left"/>
      <w:lvlText w:val="(%1)"/>
      <w:numFmt w:val="lowerRoman"/>
      <w:start w:val="2"/>
    </w:lvl>
  </w:abstractNum>
  <w:abstractNum w:abstractNumId="20">
    <w:nsid w:val="79838CB2"/>
    <w:multiLevelType w:val="hybridMultilevel"/>
    <w:lvl w:ilvl="0">
      <w:lvlJc w:val="left"/>
      <w:lvlText w:val="(%1)"/>
      <w:numFmt w:val="lowerRoman"/>
      <w:start w:val="3"/>
    </w:lvl>
  </w:abstractNum>
  <w:abstractNum w:abstractNumId="21">
    <w:nsid w:val="4353D0CD"/>
    <w:multiLevelType w:val="hybridMultilevel"/>
    <w:lvl w:ilvl="0">
      <w:lvlJc w:val="left"/>
      <w:lvlText w:val="%1."/>
      <w:numFmt w:val="decimal"/>
      <w:start w:val="3"/>
    </w:lvl>
  </w:abstractNum>
  <w:abstractNum w:abstractNumId="22">
    <w:nsid w:val="B03E0C6"/>
    <w:multiLevelType w:val="hybridMultilevel"/>
    <w:lvl w:ilvl="0">
      <w:lvlJc w:val="left"/>
      <w:lvlText w:val="(%1)"/>
      <w:numFmt w:val="lowerRoman"/>
      <w:start w:val="3"/>
    </w:lvl>
  </w:abstractNum>
  <w:abstractNum w:abstractNumId="23">
    <w:nsid w:val="189A769B"/>
    <w:multiLevelType w:val="hybridMultilevel"/>
    <w:lvl w:ilvl="0">
      <w:lvlJc w:val="left"/>
      <w:lvlText w:val="%1."/>
      <w:numFmt w:val="upperLetter"/>
      <w:start w:val="61"/>
    </w:lvl>
  </w:abstractNum>
  <w:abstractNum w:abstractNumId="24">
    <w:nsid w:val="54E49EB4"/>
    <w:multiLevelType w:val="hybridMultilevel"/>
    <w:lvl w:ilvl="0">
      <w:lvlJc w:val="left"/>
      <w:lvlText w:val="%1."/>
      <w:numFmt w:val="upperLetter"/>
      <w:start w:val="2"/>
    </w:lvl>
  </w:abstractNum>
  <w:abstractNum w:abstractNumId="25">
    <w:nsid w:val="71F32454"/>
    <w:multiLevelType w:val="hybridMultilevel"/>
    <w:lvl w:ilvl="0">
      <w:lvlJc w:val="left"/>
      <w:lvlText w:val="(%1)"/>
      <w:numFmt w:val="lowerRoman"/>
      <w:start w:val="1"/>
    </w:lvl>
  </w:abstractNum>
  <w:abstractNum w:abstractNumId="26">
    <w:nsid w:val="2CA88611"/>
    <w:multiLevelType w:val="hybridMultilevel"/>
    <w:lvl w:ilvl="0">
      <w:lvlJc w:val="left"/>
      <w:lvlText w:val="(%1)"/>
      <w:numFmt w:val="lowerRoman"/>
      <w:start w:val="1"/>
    </w:lvl>
    <w:lvl w:ilvl="1">
      <w:lvlJc w:val="left"/>
      <w:lvlText w:val="·"/>
      <w:numFmt w:val="bullet"/>
      <w:start w:val="1"/>
    </w:lvl>
  </w:abstractNum>
  <w:abstractNum w:abstractNumId="27">
    <w:nsid w:val="836C40E"/>
    <w:multiLevelType w:val="hybridMultilevel"/>
    <w:lvl w:ilvl="0">
      <w:lvlJc w:val="left"/>
      <w:lvlText w:val="%1"/>
      <w:numFmt w:val="upperLetter"/>
      <w:start w:val="1"/>
    </w:lvl>
    <w:lvl w:ilvl="1">
      <w:lvlJc w:val="left"/>
      <w:lvlText w:val="(%2)"/>
      <w:numFmt w:val="lowerRoman"/>
      <w:start w:val="4"/>
    </w:lvl>
  </w:abstractNum>
  <w:abstractNum w:abstractNumId="28">
    <w:nsid w:val="2901D82"/>
    <w:multiLevelType w:val="hybridMultilevel"/>
    <w:lvl w:ilvl="0">
      <w:lvlJc w:val="left"/>
      <w:lvlText w:val="%1."/>
      <w:numFmt w:val="upperLetter"/>
      <w:start w:val="2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2026-04-24T05:14:51Z</dcterms:created>
  <dcterms:modified xsi:type="dcterms:W3CDTF">2026-04-24T05:14:51Z</dcterms:modified>
</cp:coreProperties>
</file>