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May 4, 2020.</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333-237726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AMENDMENT NO. 2 TO</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F-1</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REGISTRATION STATEMENT</w:t>
      </w:r>
    </w:p>
    <w:p>
      <w:pPr>
        <w:jc w:val="center"/>
        <w:ind w:right="-99"/>
        <w:spacing w:after="0" w:line="228" w:lineRule="auto"/>
        <w:rPr>
          <w:sz w:val="20"/>
          <w:szCs w:val="20"/>
          <w:color w:val="auto"/>
        </w:rPr>
      </w:pPr>
      <w:r>
        <w:rPr>
          <w:rFonts w:ascii="Arial" w:cs="Arial" w:eastAsia="Arial" w:hAnsi="Arial"/>
          <w:sz w:val="14"/>
          <w:szCs w:val="14"/>
          <w:b w:val="1"/>
          <w:bCs w:val="1"/>
          <w:i w:val="1"/>
          <w:iCs w:val="1"/>
          <w:color w:val="auto"/>
        </w:rPr>
        <w:t>UNDER</w:t>
      </w:r>
    </w:p>
    <w:p>
      <w:pPr>
        <w:jc w:val="center"/>
        <w:ind w:right="-9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Kingsoft Cloud Holdings Limited</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7"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85"/>
              <w:spacing w:after="0"/>
              <w:rPr>
                <w:sz w:val="20"/>
                <w:szCs w:val="20"/>
                <w:color w:val="auto"/>
              </w:rPr>
            </w:pPr>
            <w:r>
              <w:rPr>
                <w:rFonts w:ascii="Arial" w:cs="Arial" w:eastAsia="Arial" w:hAnsi="Arial"/>
                <w:sz w:val="16"/>
                <w:szCs w:val="16"/>
                <w:b w:val="1"/>
                <w:bCs w:val="1"/>
                <w:color w:val="auto"/>
                <w:w w:val="91"/>
              </w:rPr>
              <w:t>Cayman Islands</w:t>
            </w: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420" w:type="dxa"/>
            <w:vAlign w:val="bottom"/>
          </w:tcPr>
          <w:p>
            <w:pPr>
              <w:jc w:val="center"/>
              <w:ind w:left="94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840" w:type="dxa"/>
            <w:vAlign w:val="bottom"/>
          </w:tcPr>
          <w:p>
            <w:pPr>
              <w:jc w:val="center"/>
              <w:ind w:right="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5"/>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Kingsoft Tower, No. 33, Xiao Ying West Road,</w:t>
      </w:r>
    </w:p>
    <w:p>
      <w:pPr>
        <w:jc w:val="center"/>
        <w:ind w:right="-99"/>
        <w:spacing w:after="0" w:line="226" w:lineRule="auto"/>
        <w:rPr>
          <w:sz w:val="20"/>
          <w:szCs w:val="20"/>
          <w:color w:val="auto"/>
        </w:rPr>
      </w:pPr>
      <w:r>
        <w:rPr>
          <w:rFonts w:ascii="Arial" w:cs="Arial" w:eastAsia="Arial" w:hAnsi="Arial"/>
          <w:sz w:val="14"/>
          <w:szCs w:val="14"/>
          <w:b w:val="1"/>
          <w:bCs w:val="1"/>
          <w:color w:val="auto"/>
        </w:rPr>
        <w:t>Haidian District</w:t>
      </w:r>
    </w:p>
    <w:p>
      <w:pPr>
        <w:jc w:val="center"/>
        <w:ind w:right="-99"/>
        <w:spacing w:after="0" w:line="221" w:lineRule="auto"/>
        <w:rPr>
          <w:sz w:val="20"/>
          <w:szCs w:val="20"/>
          <w:color w:val="auto"/>
        </w:rPr>
      </w:pPr>
      <w:r>
        <w:rPr>
          <w:rFonts w:ascii="Arial" w:cs="Arial" w:eastAsia="Arial" w:hAnsi="Arial"/>
          <w:sz w:val="14"/>
          <w:szCs w:val="14"/>
          <w:b w:val="1"/>
          <w:bCs w:val="1"/>
          <w:color w:val="auto"/>
        </w:rPr>
        <w:t>Beijing, 100085, the People’s Republic of China</w:t>
      </w:r>
    </w:p>
    <w:p>
      <w:pPr>
        <w:jc w:val="center"/>
        <w:ind w:right="-99"/>
        <w:spacing w:after="0" w:line="222" w:lineRule="auto"/>
        <w:rPr>
          <w:sz w:val="20"/>
          <w:szCs w:val="20"/>
          <w:color w:val="auto"/>
        </w:rPr>
      </w:pPr>
      <w:r>
        <w:rPr>
          <w:rFonts w:ascii="Arial" w:cs="Arial" w:eastAsia="Arial" w:hAnsi="Arial"/>
          <w:sz w:val="14"/>
          <w:szCs w:val="14"/>
          <w:b w:val="1"/>
          <w:bCs w:val="1"/>
          <w:color w:val="auto"/>
        </w:rPr>
        <w:t>+86 10 6292 7777</w:t>
      </w: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Cogency Global Inc.</w:t>
      </w:r>
    </w:p>
    <w:p>
      <w:pPr>
        <w:jc w:val="center"/>
        <w:ind w:right="-99"/>
        <w:spacing w:after="0" w:line="226" w:lineRule="auto"/>
        <w:rPr>
          <w:sz w:val="20"/>
          <w:szCs w:val="20"/>
          <w:color w:val="auto"/>
        </w:rPr>
      </w:pPr>
      <w:r>
        <w:rPr>
          <w:rFonts w:ascii="Arial" w:cs="Arial" w:eastAsia="Arial" w:hAnsi="Arial"/>
          <w:sz w:val="14"/>
          <w:szCs w:val="14"/>
          <w:b w:val="1"/>
          <w:bCs w:val="1"/>
          <w:color w:val="auto"/>
        </w:rPr>
        <w:t>122 East 42nd Street, 18th Floor</w:t>
      </w:r>
    </w:p>
    <w:p>
      <w:pPr>
        <w:jc w:val="center"/>
        <w:ind w:right="-99"/>
        <w:spacing w:after="0" w:line="221" w:lineRule="auto"/>
        <w:rPr>
          <w:sz w:val="20"/>
          <w:szCs w:val="20"/>
          <w:color w:val="auto"/>
        </w:rPr>
      </w:pPr>
      <w:r>
        <w:rPr>
          <w:rFonts w:ascii="Arial" w:cs="Arial" w:eastAsia="Arial" w:hAnsi="Arial"/>
          <w:sz w:val="14"/>
          <w:szCs w:val="14"/>
          <w:b w:val="1"/>
          <w:bCs w:val="1"/>
          <w:color w:val="auto"/>
        </w:rPr>
        <w:t>New York, NY 10168</w:t>
      </w:r>
    </w:p>
    <w:p>
      <w:pPr>
        <w:jc w:val="center"/>
        <w:ind w:right="-99"/>
        <w:spacing w:after="0" w:line="222" w:lineRule="auto"/>
        <w:rPr>
          <w:sz w:val="20"/>
          <w:szCs w:val="20"/>
          <w:color w:val="auto"/>
        </w:rPr>
      </w:pPr>
      <w:r>
        <w:rPr>
          <w:rFonts w:ascii="Arial" w:cs="Arial" w:eastAsia="Arial" w:hAnsi="Arial"/>
          <w:sz w:val="14"/>
          <w:szCs w:val="14"/>
          <w:b w:val="1"/>
          <w:bCs w:val="1"/>
          <w:color w:val="auto"/>
        </w:rPr>
        <w:t>+1 800-221-0102</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4"/>
          <w:szCs w:val="24"/>
          <w:color w:val="auto"/>
        </w:rPr>
      </w:pPr>
    </w:p>
    <w:tbl>
      <w:tblPr>
        <w:tblLayout w:type="fixed"/>
        <w:tblInd w:w="196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5360" w:type="dxa"/>
            <w:vAlign w:val="bottom"/>
          </w:tcPr>
          <w:p>
            <w:pPr>
              <w:ind w:left="740"/>
              <w:spacing w:after="0"/>
              <w:rPr>
                <w:sz w:val="20"/>
                <w:szCs w:val="20"/>
                <w:color w:val="auto"/>
              </w:rPr>
            </w:pPr>
            <w:r>
              <w:rPr>
                <w:rFonts w:ascii="Arial" w:cs="Arial" w:eastAsia="Arial" w:hAnsi="Arial"/>
                <w:sz w:val="14"/>
                <w:szCs w:val="14"/>
                <w:b w:val="1"/>
                <w:bCs w:val="1"/>
                <w:i w:val="1"/>
                <w:iCs w:val="1"/>
                <w:color w:val="auto"/>
              </w:rPr>
              <w:t>Copies to:</w:t>
            </w:r>
          </w:p>
        </w:tc>
      </w:tr>
      <w:tr>
        <w:trPr>
          <w:trHeight w:val="192"/>
        </w:trPr>
        <w:tc>
          <w:tcPr>
            <w:tcW w:w="2620" w:type="dxa"/>
            <w:vAlign w:val="bottom"/>
          </w:tcPr>
          <w:p>
            <w:pPr>
              <w:jc w:val="center"/>
              <w:ind w:right="668"/>
              <w:spacing w:after="0"/>
              <w:rPr>
                <w:sz w:val="20"/>
                <w:szCs w:val="20"/>
                <w:color w:val="auto"/>
              </w:rPr>
            </w:pPr>
            <w:r>
              <w:rPr>
                <w:rFonts w:ascii="Arial" w:cs="Arial" w:eastAsia="Arial" w:hAnsi="Arial"/>
                <w:sz w:val="14"/>
                <w:szCs w:val="14"/>
                <w:b w:val="1"/>
                <w:bCs w:val="1"/>
                <w:color w:val="auto"/>
                <w:w w:val="94"/>
              </w:rPr>
              <w:t>Li He, Esq.</w:t>
            </w:r>
          </w:p>
        </w:tc>
        <w:tc>
          <w:tcPr>
            <w:tcW w:w="5360" w:type="dxa"/>
            <w:vAlign w:val="bottom"/>
          </w:tcPr>
          <w:p>
            <w:pPr>
              <w:jc w:val="center"/>
              <w:ind w:left="2308"/>
              <w:spacing w:after="0"/>
              <w:rPr>
                <w:sz w:val="20"/>
                <w:szCs w:val="20"/>
                <w:color w:val="auto"/>
              </w:rPr>
            </w:pPr>
            <w:r>
              <w:rPr>
                <w:rFonts w:ascii="Arial" w:cs="Arial" w:eastAsia="Arial" w:hAnsi="Arial"/>
                <w:sz w:val="14"/>
                <w:szCs w:val="14"/>
                <w:b w:val="1"/>
                <w:bCs w:val="1"/>
                <w:color w:val="auto"/>
                <w:w w:val="94"/>
              </w:rPr>
              <w:t>David T. Zhang, Esq.</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3"/>
              </w:rPr>
              <w:t>James C. Lin, Esq.</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2"/>
              </w:rPr>
              <w:t>Steve Lin, Esq.</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9"/>
              </w:rPr>
              <w:t>Kirkland &amp; Ellis International LLP</w:t>
            </w:r>
          </w:p>
        </w:tc>
      </w:tr>
      <w:tr>
        <w:trPr>
          <w:trHeight w:val="149"/>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3"/>
              </w:rPr>
              <w:t>c/o 18</w:t>
            </w:r>
            <w:r>
              <w:rPr>
                <w:rFonts w:ascii="Arial" w:cs="Arial" w:eastAsia="Arial" w:hAnsi="Arial"/>
                <w:sz w:val="12"/>
                <w:szCs w:val="12"/>
                <w:b w:val="1"/>
                <w:bCs w:val="1"/>
                <w:color w:val="auto"/>
                <w:w w:val="93"/>
              </w:rPr>
              <w:t>th</w:t>
            </w:r>
            <w:r>
              <w:rPr>
                <w:rFonts w:ascii="Arial" w:cs="Arial" w:eastAsia="Arial" w:hAnsi="Arial"/>
                <w:sz w:val="14"/>
                <w:szCs w:val="14"/>
                <w:b w:val="1"/>
                <w:bCs w:val="1"/>
                <w:color w:val="auto"/>
                <w:w w:val="93"/>
              </w:rPr>
              <w:t xml:space="preserve"> Floor, The Hong Kong</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2"/>
              </w:rPr>
              <w:t>c/o 26</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 Gloucester Tower, The Landmark</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6"/>
              </w:rPr>
              <w:t>Club Building</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4"/>
              </w:rPr>
              <w:t>15 Queen’s Road Central</w:t>
            </w:r>
          </w:p>
        </w:tc>
      </w:tr>
      <w:tr>
        <w:trPr>
          <w:trHeight w:val="149"/>
        </w:trPr>
        <w:tc>
          <w:tcPr>
            <w:tcW w:w="262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5"/>
              </w:rPr>
              <w:t>3A Chater Road, Central</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5"/>
              </w:rPr>
              <w:t>Hong Kong</w:t>
            </w:r>
          </w:p>
        </w:tc>
      </w:tr>
      <w:tr>
        <w:trPr>
          <w:trHeight w:val="148"/>
        </w:trPr>
        <w:tc>
          <w:tcPr>
            <w:tcW w:w="262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5"/>
              </w:rPr>
              <w:t>Hong Kong</w:t>
            </w:r>
          </w:p>
        </w:tc>
        <w:tc>
          <w:tcPr>
            <w:tcW w:w="5360" w:type="dxa"/>
            <w:vAlign w:val="bottom"/>
          </w:tcPr>
          <w:p>
            <w:pPr>
              <w:jc w:val="center"/>
              <w:ind w:left="2328"/>
              <w:spacing w:after="0" w:line="149" w:lineRule="exact"/>
              <w:rPr>
                <w:sz w:val="20"/>
                <w:szCs w:val="20"/>
                <w:color w:val="auto"/>
              </w:rPr>
            </w:pPr>
            <w:r>
              <w:rPr>
                <w:rFonts w:ascii="Arial" w:cs="Arial" w:eastAsia="Arial" w:hAnsi="Arial"/>
                <w:sz w:val="14"/>
                <w:szCs w:val="14"/>
                <w:b w:val="1"/>
                <w:bCs w:val="1"/>
                <w:color w:val="auto"/>
                <w:w w:val="93"/>
              </w:rPr>
              <w:t>+852 3761-3300</w:t>
            </w:r>
          </w:p>
        </w:tc>
      </w:tr>
      <w:tr>
        <w:trPr>
          <w:trHeight w:val="186"/>
        </w:trPr>
        <w:tc>
          <w:tcPr>
            <w:tcW w:w="262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+852 2533-3300</w:t>
            </w:r>
          </w:p>
        </w:tc>
        <w:tc>
          <w:tcPr>
            <w:tcW w:w="5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6"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8" w:lineRule="exact"/>
        <w:rPr>
          <w:sz w:val="24"/>
          <w:szCs w:val="24"/>
          <w:color w:val="auto"/>
        </w:rPr>
      </w:pPr>
    </w:p>
    <w:p>
      <w:pPr>
        <w:ind w:left="93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94" w:lineRule="exact"/>
        <w:rPr>
          <w:sz w:val="24"/>
          <w:szCs w:val="24"/>
          <w:color w:val="auto"/>
        </w:rPr>
      </w:pPr>
    </w:p>
    <w:p>
      <w:pPr>
        <w:ind w:left="120" w:right="420" w:firstLine="44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00" w:firstLine="436"/>
        <w:spacing w:after="0" w:line="253" w:lineRule="auto"/>
        <w:tabs>
          <w:tab w:leader="none" w:pos="66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11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6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securities to be</w:t>
            </w:r>
          </w:p>
        </w:tc>
        <w:tc>
          <w:tcPr>
            <w:tcW w:w="1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offering price per</w:t>
            </w:r>
          </w:p>
        </w:tc>
        <w:tc>
          <w:tcPr>
            <w:tcW w:w="1640" w:type="dxa"/>
            <w:vAlign w:val="bottom"/>
            <w:tcBorders>
              <w:right w:val="single" w:sz="8" w:color="auto"/>
            </w:tcBorders>
          </w:tcPr>
          <w:p>
            <w:pPr>
              <w:jc w:val="center"/>
              <w:ind w:left="10"/>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w:t>
            </w:r>
            <w:r>
              <w:rPr>
                <w:rFonts w:ascii="Arial" w:cs="Arial" w:eastAsia="Arial" w:hAnsi="Arial"/>
                <w:sz w:val="12"/>
                <w:szCs w:val="12"/>
                <w:b w:val="1"/>
                <w:bCs w:val="1"/>
                <w:color w:val="auto"/>
                <w:w w:val="88"/>
              </w:rPr>
              <w:t>(3)</w:t>
            </w:r>
          </w:p>
        </w:tc>
        <w:tc>
          <w:tcPr>
            <w:tcW w:w="16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(2)(3)</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Ordinary shares, par value US$0.001 per share</w:t>
            </w:r>
            <w:r>
              <w:rPr>
                <w:rFonts w:ascii="Arial" w:cs="Arial" w:eastAsia="Arial" w:hAnsi="Arial"/>
                <w:sz w:val="12"/>
                <w:szCs w:val="12"/>
                <w:color w:val="auto"/>
              </w:rPr>
              <w:t>(1)(2)</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431,250,000</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US$1.2</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US$517,500,000</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2"/>
              </w:rPr>
              <w:t>US$67,171.5</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780" w:hanging="424"/>
        <w:spacing w:after="0" w:line="226"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ordinary shares registered hereby will be registered under a separate registration statement on Form F-6 (Registration No. 333-237852). Each American depositary share represents 15 ordinary shares.</w:t>
      </w:r>
    </w:p>
    <w:p>
      <w:pPr>
        <w:ind w:left="540" w:right="120" w:hanging="424"/>
        <w:spacing w:after="0" w:line="238"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and also includes ordinary shares that are issuable upon the exercise of the underwriters’ option to purchase additional ADSs. These ordinary shares are not being registered for the purpose of sales outside the United States.</w:t>
      </w:r>
    </w:p>
    <w:p>
      <w:pPr>
        <w:ind w:left="540" w:hanging="424"/>
        <w:spacing w:after="0" w:line="221"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457(a) under the Securities Act of 1933.</w:t>
      </w:r>
    </w:p>
    <w:p>
      <w:pPr>
        <w:ind w:left="540" w:hanging="424"/>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US$12,980 of which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ind w:left="120" w:right="60" w:firstLine="4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United States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83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EB0029"/>
        </w:rPr>
        <w:t>Subject to Completion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EB0029"/>
        </w:rPr>
        <w:t>Preliminary Prospectus Dated May 4, 2020</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25,000,000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24130</wp:posOffset>
            </wp:positionV>
            <wp:extent cx="216852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Kingsoft Cloud Holdings Limited</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Representing 375,000,000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This is an initial public offering of American depositary shares, or ADSs, representing ordinary shares of Kingsoft Cloud Holdings Limited. We are offering a total of 25,000,000 ADSs, each representing 15 of our ordinary shares, par value US$0.001 per share. The underwriters may also purchase up to 3,750,000 additional ADSs within 30 days from the date of this prospectus.</w:t>
      </w:r>
    </w:p>
    <w:p>
      <w:pPr>
        <w:spacing w:after="0" w:line="184" w:lineRule="exact"/>
        <w:rPr>
          <w:sz w:val="20"/>
          <w:szCs w:val="20"/>
          <w:color w:val="auto"/>
        </w:rPr>
      </w:pPr>
    </w:p>
    <w:p>
      <w:pPr>
        <w:jc w:val="both"/>
        <w:ind w:left="120" w:right="320" w:firstLine="440"/>
        <w:spacing w:after="0" w:line="342" w:lineRule="auto"/>
        <w:rPr>
          <w:sz w:val="20"/>
          <w:szCs w:val="20"/>
          <w:color w:val="auto"/>
        </w:rPr>
      </w:pPr>
      <w:r>
        <w:rPr>
          <w:rFonts w:ascii="Arial" w:cs="Arial" w:eastAsia="Arial" w:hAnsi="Arial"/>
          <w:sz w:val="16"/>
          <w:szCs w:val="16"/>
          <w:color w:val="auto"/>
        </w:rPr>
        <w:t>Prior to this offering, there has been no public market for the ADSs. We expect the initial public offering price will be between US$16.00 and US$18.00 per ADS. We have applied to list the ADSs representing our ordinary shares on the Nasdaq Global Select Market under the symbol “KC.”</w:t>
      </w:r>
    </w:p>
    <w:p>
      <w:pPr>
        <w:spacing w:after="0" w:line="12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Kingsoft Group and Xiaomi, our existing shareholders, have indicated interest in purchasing up to US$25 million and US$50 million, respectively, of the ADSs being offered in this offering at the initial public offering price and on the same terms as the other ADSs being offered. Such indications of interests are not binding agreements or commitments to purchase, and we and the underwriters are currently under no obligations to sell any ADSs to Kingsoft Group or Xiaomi.</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Carmignac Gestion and its affiliates have indicated interest in purchasing, in aggregate, up to US$50 million of the ADSs being offered in this offering, subject to certain limitations, at the initial public offering price and on the same terms as the other ADSs being offered. Such indications of interest are not binding agreements or commitments to purchase, and we and the underwriters are currently under no obligations to sell any ADSs to of such investors.</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0" w:right="260" w:firstLine="440"/>
        <w:spacing w:after="0" w:line="312" w:lineRule="auto"/>
        <w:rPr>
          <w:rFonts w:ascii="Arial" w:cs="Arial" w:eastAsia="Arial" w:hAnsi="Arial"/>
          <w:sz w:val="17"/>
          <w:szCs w:val="17"/>
          <w:b w:val="1"/>
          <w:bCs w:val="1"/>
          <w:color w:val="auto"/>
        </w:rPr>
      </w:pPr>
      <w:r>
        <w:rPr>
          <w:rFonts w:ascii="Arial" w:cs="Arial" w:eastAsia="Arial" w:hAnsi="Arial"/>
          <w:sz w:val="17"/>
          <w:szCs w:val="17"/>
          <w:b w:val="1"/>
          <w:bCs w:val="1"/>
          <w:color w:val="auto"/>
        </w:rPr>
        <w:t>We are an “emerging growth company” under the U.S. federal securities laws and will be subject to reduced public company reporting requirements. Investing in our ordinary shares involves risks. See “</w:t>
      </w:r>
      <w:hyperlink w:anchor="page23">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18 of this prospectus.</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ADS</w:t>
            </w: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Total</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880" w:type="dxa"/>
            <w:vAlign w:val="bottom"/>
            <w:gridSpan w:val="3"/>
          </w:tcPr>
          <w:p>
            <w:pPr>
              <w:ind w:left="1440"/>
              <w:spacing w:after="0"/>
              <w:rPr>
                <w:sz w:val="20"/>
                <w:szCs w:val="20"/>
                <w:color w:val="auto"/>
              </w:rPr>
            </w:pPr>
            <w:r>
              <w:rPr>
                <w:rFonts w:ascii="Arial" w:cs="Arial" w:eastAsia="Arial" w:hAnsi="Arial"/>
                <w:sz w:val="18"/>
                <w:szCs w:val="18"/>
                <w:color w:val="auto"/>
              </w:rPr>
              <w:t>US$</w:t>
            </w:r>
          </w:p>
        </w:tc>
        <w:tc>
          <w:tcPr>
            <w:tcW w:w="86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8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a description of the compensation payable to the underwriters, see “Underwriting.”</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w w:val="96"/>
              </w:rPr>
              <w:t>The underwriters expect to deliver the ADSs against payment in U.S. dollars in New York, New York on</w:t>
            </w:r>
          </w:p>
        </w:tc>
        <w:tc>
          <w:tcPr>
            <w:tcW w:w="8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tabs>
          <w:tab w:leader="none" w:pos="3440" w:val="left"/>
          <w:tab w:leader="none" w:pos="7840" w:val="left"/>
          <w:tab w:leader="none" w:pos="1046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UBS Investment Bank</w:t>
      </w:r>
      <w:r>
        <w:rPr>
          <w:sz w:val="20"/>
          <w:szCs w:val="20"/>
          <w:color w:val="auto"/>
        </w:rPr>
        <w:tab/>
      </w:r>
      <w:r>
        <w:rPr>
          <w:rFonts w:ascii="Arial" w:cs="Arial" w:eastAsia="Arial" w:hAnsi="Arial"/>
          <w:sz w:val="25"/>
          <w:szCs w:val="25"/>
          <w:b w:val="1"/>
          <w:bCs w:val="1"/>
          <w:color w:val="auto"/>
        </w:rPr>
        <w:t>Credit Suisse</w:t>
      </w:r>
      <w:r>
        <w:rPr>
          <w:sz w:val="20"/>
          <w:szCs w:val="20"/>
          <w:color w:val="auto"/>
        </w:rPr>
        <w:tab/>
      </w:r>
      <w:r>
        <w:rPr>
          <w:rFonts w:ascii="Arial" w:cs="Arial" w:eastAsia="Arial" w:hAnsi="Arial"/>
          <w:sz w:val="25"/>
          <w:szCs w:val="25"/>
          <w:b w:val="1"/>
          <w:bCs w:val="1"/>
          <w:color w:val="auto"/>
        </w:rPr>
        <w:t>CICC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3880"/>
        <w:spacing w:after="0"/>
        <w:tabs>
          <w:tab w:leader="none" w:pos="68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7929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79292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7929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79292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412"/>
        </w:trPr>
        <w:tc>
          <w:tcPr>
            <w:tcW w:w="6660" w:type="dxa"/>
            <w:vAlign w:val="bottom"/>
            <w:gridSpan w:val="2"/>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398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60" w:type="dxa"/>
            <w:vAlign w:val="bottom"/>
            <w:gridSpan w:val="2"/>
            <w:vMerge w:val="continue"/>
          </w:tcPr>
          <w:p>
            <w:pPr>
              <w:spacing w:after="0"/>
              <w:rPr>
                <w:sz w:val="16"/>
                <w:szCs w:val="16"/>
                <w:color w:val="auto"/>
              </w:rPr>
            </w:pPr>
          </w:p>
        </w:tc>
        <w:tc>
          <w:tcPr>
            <w:tcW w:w="398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Our Corporate Information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Implications of Being an Emerging Growth Company</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Conventions Which Apply to this Prospectus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The Offering</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Our Summary Consolidated Financial Data and Operating Data</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Special Note Regarding Forward-Looking Statements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Use of Proceeds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Dividend Policy</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Capitalization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Dilution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Enforceability of Civil Liabilities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Corporate History and Structure</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Selected Consolidated Financial Data</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w w:val="93"/>
              </w:rPr>
            </w:pPr>
            <w:hyperlink w:anchor="page95">
              <w:r>
                <w:rPr>
                  <w:rFonts w:ascii="Arial" w:cs="Arial" w:eastAsia="Arial" w:hAnsi="Arial"/>
                  <w:sz w:val="18"/>
                  <w:szCs w:val="18"/>
                  <w:u w:val="single" w:color="auto"/>
                  <w:color w:val="0000EE"/>
                  <w:w w:val="93"/>
                </w:rPr>
                <w:t>Management’s Discussion and Analysis of Financial Condition and Results of Operations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Industry Overview</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Business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Regulation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Management</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Principal Shareholders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Related Party Transactions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Description of Share Capital</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Description of American Depositary Shares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Shares Eligible for Future Sale</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Taxation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Underwriting</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Expenses Relating to this Offering</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Legal Matters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Experts</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Where You Can Find Additional Information</w:t>
              </w:r>
            </w:hyperlink>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Index to Consolidated Financial Statements</w:t>
              </w:r>
            </w:hyperlink>
          </w:p>
        </w:tc>
        <w:tc>
          <w:tcPr>
            <w:tcW w:w="398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ordinary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representing our ordinary shares. Our business, financial condition, results of operations and prospects may have changed since the date on the front cover of this prospectus.</w:t>
      </w:r>
    </w:p>
    <w:p>
      <w:pPr>
        <w:spacing w:after="0" w:line="174"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auto"/>
        </w:rPr>
        <w:t>Until , 2020 (the 25th day after the date of this prospectus), all dealers that buy, sell or trade the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“Business,” and information contained in “Management’s Discussion and Analysis of Financial Condition and Results of Operations” before deciding whether to buy the ADSs. Investors should note that Kingsoft Cloud Holdings Limited, our ultimate Cayman Islands holding company, does not directly own any substantive business operations in the PRC and our businesses in the PRC described in this prospectus are operated through our VIEs.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mission is to empower enterprises with cloud services.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We are the largest independent cloud service provider in China, according to Frost &amp; Sullivan, a third-party industry research firm commissioned by us. We have built a comprehensive and reliable cloud platform consisting of extensive cloud infrastructure, cutting-edge cloud products and well-architected industry-specific solutions across public cloud, enterprise cloud and AIoT cloud services, based on which we have achieved a leading position in the cloud market in China. We are the third largest internet cloud service provider in China with a market share of 5.4% in terms of revenue from Infrastructure as a Service, or IaaS, and Platform as a Service, or PaaS, public cloud services in 2019, according to Frost &amp; Sullivan.</w:t>
      </w:r>
    </w:p>
    <w:p>
      <w:pPr>
        <w:spacing w:after="0" w:line="192"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color w:val="auto"/>
        </w:rPr>
        <w:t>Cloud offers a wide variety of benefits, primarily including cost reduction, flexibility, scalability and reliability, and technology innovation, to enterprises compared with the traditional on-premise IT models. As a result of these benefits, global IT spending has seen a structural shift from traditional on-premise IT models to a cloud-based model. In 2018, China has become the second largest cloud market globally in terms of revenue, following the United States, according to Frost &amp; Sullivan. The market size of China’s cloud services grew at a CAGR of 37.7% from 2015 to 2019 and is expected to grow at a CAGR of 28.3% from 2019 to 2024, outpacing the CAGR of 21.3% and 20.3% for the respective periods in the United States, according to Frost &amp; Sullivan. Based on the industries and verticals of customers, China’s cloud service market could be divided into</w:t>
      </w:r>
    </w:p>
    <w:p>
      <w:pPr>
        <w:spacing w:after="0" w:line="4" w:lineRule="exact"/>
        <w:rPr>
          <w:sz w:val="20"/>
          <w:szCs w:val="20"/>
          <w:color w:val="auto"/>
        </w:rPr>
      </w:pPr>
    </w:p>
    <w:p>
      <w:pPr>
        <w:ind w:left="300" w:right="80" w:hanging="2"/>
        <w:spacing w:after="0" w:line="287" w:lineRule="auto"/>
        <w:tabs>
          <w:tab w:leader="none" w:pos="515"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services for internet enterprises, or internet cloud market, and (ii) services for traditional enterprises and public service organizations. The market size of China’s internet cloud market was RMB53.8 billion in 2019 and is expected to reach RMB217.5 billion in 2024, while the market size of China’s cloud market for traditional enterprises and public service organizations is even larger, which was RMB108.0 billion in 2019 and is expected to reach RMB345.9 billion in 2024, according to Frost &amp; Sullivan. In addition, based on the fee model of services, China’s cloud service market could be divided into (i) services charged based on utilization and duration, or public cloud market, and (ii) services charged on a project basis. China’s public cloud market is one of the fastest growing markets in the world. According to Frost &amp; Sullivan, the market size of China’s public cloud market was RMB81.4 billion in 2019 and is expected to reach RMB368.1 billion in 2024, while the market size of cloud services charged on a project basis was RMB80.4 billion in 2019 and is expected to reach RMB195.2 billion in 2024.</w:t>
      </w:r>
    </w:p>
    <w:p>
      <w:pPr>
        <w:spacing w:after="0" w:line="170"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Moreover, China’s cloud market is at an early stage with tremendous growth potentials as indicated by the lower market penetration as compared to that in the United States. Being among the existing market leaders who have built significant competitive advantages in a market that has high entry barriers, we are well positioned to capture the large and growing market opportunities brought about by the increased penetration of cloud services into traditional enterprises and public service organizations, application of 5G, AI and IoT, demand for multi-cloud and neutrality, and support by favorable government policies.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color w:val="auto"/>
        </w:rPr>
        <w:t>Being an independently operated company, focusing on cloud services since our inception, we are able to fully mobilize our resources into the innovation of our business models and provide high-quality services to businesses and organizations of all kind. With our full dedication to cloud business, we are able to avoid potential conflicts of interest with our customers and enhance our neutral position, which in turn gains additional trust from more and more customers.</w:t>
      </w:r>
    </w:p>
    <w:p>
      <w:pPr>
        <w:spacing w:after="0" w:line="187" w:lineRule="exact"/>
        <w:rPr>
          <w:sz w:val="20"/>
          <w:szCs w:val="20"/>
          <w:color w:val="auto"/>
        </w:rPr>
      </w:pPr>
    </w:p>
    <w:p>
      <w:pPr>
        <w:ind w:left="300" w:right="120" w:firstLine="426"/>
        <w:spacing w:after="0" w:line="289" w:lineRule="auto"/>
        <w:rPr>
          <w:sz w:val="20"/>
          <w:szCs w:val="20"/>
          <w:color w:val="auto"/>
        </w:rPr>
      </w:pPr>
      <w:r>
        <w:rPr>
          <w:rFonts w:ascii="Arial" w:cs="Arial" w:eastAsia="Arial" w:hAnsi="Arial"/>
          <w:sz w:val="16"/>
          <w:szCs w:val="16"/>
          <w:color w:val="auto"/>
        </w:rPr>
        <w:t>Leveraging our profound industry insights, we saw significant growth prospects in selected verticals, such as game, video and financial services. We have strategically expanded our footprints into such fast-growing verticals as first-movers and have established a leading market position through relentless execution. We have inherited the “enterprise service DNA” from Kingsoft Group, the widely trusted leading software franchise in China, and have established superior enterprise service capabilities. Benefiting from Kingsoft Group’s over 30 years of experience in providing enterprise services, we value each customer and provide best-in-class customer services covering their entire life-cycle. Such customer-centric service philosophy enables us to achieve increasing brand recognition, a loyal customer base while improving unit economics. We also adopt a premium-customer strategy, focusing on leading enterprises within selected verticals to establish our market presence efficiently. The total number of our Premium Customers increased from 113 in 2017 to 154 in 2018, and further to 243 in 2019. In 2018 and 2019, our net dollar retention rate of Public Cloud Service Premium Customers was 161% and 155%, respectively.</w:t>
      </w:r>
    </w:p>
    <w:p>
      <w:pPr>
        <w:spacing w:after="0" w:line="166"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We enjoy a skilled talent pool and will continue to invest in research and development to enhance our technology leadership and upgrade our cloud solutions. As of December 31, 2019, our research and development team consisted of 1,150 engineers, researchers, programmers and computer and data scientists, accounting for 62% of our total employees.</w:t>
      </w:r>
    </w:p>
    <w:p>
      <w:pPr>
        <w:spacing w:after="0" w:line="18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are dedicated to providing safe, reliable, stable and high-quality cloud products and solutions to our customers, covering (i) public cloud services from which we generated majority of our revenues, (ii) enterprise cloud services which experienced fast growth, and (iii) AIoT cloud services which was launched in 2019. We offer public cloud services primarily to internet enterprises and charge our customers based on utilization and duration. We offer enterprise cloud services primarily to traditional enterprises and public service organizations and charge our customers on a project basis.</w:t>
      </w:r>
    </w:p>
    <w:p>
      <w:pPr>
        <w:spacing w:after="0" w:line="18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Attributable to the above, we have achieved superior growth. Our revenues increased by 79.5% from RMB1,236.0 million in 2017 to RMB2,218.2 million in 2018, and further increased by 78.4% to RMB3,956.4 million (US$568.3 million) in 2019. We have incurred gross loss of RMB118.2 million and RMB200.4 million in 2017 and 2018, respectively, and generated gross profit of RMB7.7 million (US$1.1 million) in 2019. We have incurred net loss of RMB714.3 million, RMB1,006.4 million and RMB1,111.2 million (US$159.6 million) in 2017, 2018 and 2019, respectively.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believe the following competitive strengths are essential for our continued leadership and differentiate us from our competitors:</w:t>
      </w:r>
    </w:p>
    <w:p>
      <w:pPr>
        <w:spacing w:after="0" w:line="142"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Largest independent cloud service provider in China;</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Strategically selected verticals with high growth;</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Superior enterprise service capabilities;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customer conversion capabilities and go-to-market efficiencies;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cutting-edge technologies and prominent research and development capabilities;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Visionary management team and strong synergies with our strategic shareholders.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further achieve superior growth and strengthen our market position by pursuing the following strategies:</w:t>
      </w:r>
    </w:p>
    <w:p>
      <w:pPr>
        <w:spacing w:after="0" w:line="131"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Strengthen our market position in strategically selected verticals;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into new verticals and grow our customer base;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invest in infrastructure and technology;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Capitalize on scale advantages and improve operational efficiency;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our strategic partner ecosystem;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pursue international expansion.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Investing in our ADSs involves a high degree of risk. You should carefully consider the risks and uncertainties summarized below, the risks described under the “Risk Factors” section beginning on page 18 of, and the other information contained in, this prospectus before you decide whether to purchase our ADSs.</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face risks and uncertainties in realizing our business objectives and executing our strategies, including:</w:t>
      </w:r>
    </w:p>
    <w:p>
      <w:pPr>
        <w:spacing w:after="0" w:line="131" w:lineRule="exact"/>
        <w:rPr>
          <w:sz w:val="20"/>
          <w:szCs w:val="20"/>
          <w:color w:val="auto"/>
        </w:rPr>
      </w:pPr>
    </w:p>
    <w:p>
      <w:pPr>
        <w:ind w:left="1240" w:right="56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but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net loss and we are uncertain about our future profitability;</w:t>
      </w:r>
    </w:p>
    <w:p>
      <w:pPr>
        <w:spacing w:after="0" w:line="130"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support our business growth, we are continuously optimizing and expanding our infrastructure including data centers, and investing heavily in our research and development efforts, which may negatively impact our cash flow, and may not generate the results we expect to achieve;</w:t>
      </w:r>
    </w:p>
    <w:p>
      <w:pPr>
        <w:spacing w:after="0" w:line="89" w:lineRule="exact"/>
        <w:rPr>
          <w:rFonts w:ascii="Arial" w:cs="Arial" w:eastAsia="Arial" w:hAnsi="Arial"/>
          <w:sz w:val="18"/>
          <w:szCs w:val="18"/>
          <w:color w:val="auto"/>
        </w:rPr>
      </w:pPr>
    </w:p>
    <w:p>
      <w:pPr>
        <w:ind w:left="1240" w:right="5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in which we participate is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1240" w:right="700" w:hanging="415"/>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recorded negative cash flows from operating activities historically. If we fail to collect accounts receivable from our customers in a timely manner, our business operations and financial results may be materially and adversely affected;</w:t>
      </w:r>
    </w:p>
    <w:p>
      <w:pPr>
        <w:spacing w:after="0" w:line="29" w:lineRule="exact"/>
        <w:rPr>
          <w:rFonts w:ascii="Arial" w:cs="Arial" w:eastAsia="Arial" w:hAnsi="Arial"/>
          <w:sz w:val="16"/>
          <w:szCs w:val="16"/>
          <w:color w:val="auto"/>
        </w:rPr>
      </w:pPr>
    </w:p>
    <w:p>
      <w:pPr>
        <w:ind w:left="1240" w:right="400" w:hanging="415"/>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receive a substantial portion of our revenues from a limited number of customers, and the loss of, or a significant reduction in usage by, one or more of our Premium Customers would result in lower revenues and could harm our business;</w:t>
      </w:r>
    </w:p>
    <w:p>
      <w:pPr>
        <w:spacing w:after="0" w:line="29" w:lineRule="exact"/>
        <w:rPr>
          <w:rFonts w:ascii="Arial" w:cs="Arial" w:eastAsia="Arial" w:hAnsi="Arial"/>
          <w:sz w:val="16"/>
          <w:szCs w:val="16"/>
          <w:color w:val="auto"/>
        </w:rPr>
      </w:pPr>
    </w:p>
    <w:p>
      <w:pPr>
        <w:jc w:val="both"/>
        <w:ind w:left="1240" w:right="720" w:hanging="415"/>
        <w:spacing w:after="0" w:line="286"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operate in an emerging and evolving market. If our market does not grow as we expect, or if we fail to adapt and respond effectively to rapidly changing technology, evolving industry standards, changing regulations, and changing customer needs, requirements or preferences, our products and solutions may become less competitive;</w:t>
      </w:r>
    </w:p>
    <w:p>
      <w:pPr>
        <w:spacing w:after="0" w:line="70" w:lineRule="exact"/>
        <w:rPr>
          <w:rFonts w:ascii="Arial" w:cs="Arial" w:eastAsia="Arial" w:hAnsi="Arial"/>
          <w:sz w:val="17"/>
          <w:szCs w:val="17"/>
          <w:color w:val="auto"/>
        </w:rPr>
      </w:pPr>
    </w:p>
    <w:p>
      <w:pPr>
        <w:ind w:left="1240" w:right="1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incidents and attacks on us, our products or solutions, or our global network infrastructure could lead to significant costs and disruptions that could harm our business, financial results, and reputation;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controls and economic or trade restrictions that are imposed on certain of our business partners may affect our business, financial condition and results of operations; and</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expansion into new verticals is not successful, our business, prospects and growth momentum may be materially and adversely affected.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Estimated Preliminary Results for the First Quarter of 2020</w:t>
      </w:r>
    </w:p>
    <w:p>
      <w:pPr>
        <w:spacing w:after="0" w:line="117" w:lineRule="exact"/>
        <w:rPr>
          <w:sz w:val="20"/>
          <w:szCs w:val="20"/>
          <w:color w:val="auto"/>
        </w:rPr>
      </w:pPr>
    </w:p>
    <w:p>
      <w:pPr>
        <w:ind w:left="300" w:right="180" w:firstLine="426"/>
        <w:spacing w:after="0" w:line="271" w:lineRule="auto"/>
        <w:rPr>
          <w:sz w:val="20"/>
          <w:szCs w:val="20"/>
          <w:color w:val="auto"/>
        </w:rPr>
      </w:pPr>
      <w:r>
        <w:rPr>
          <w:rFonts w:ascii="Arial" w:cs="Arial" w:eastAsia="Arial" w:hAnsi="Arial"/>
          <w:sz w:val="17"/>
          <w:szCs w:val="17"/>
          <w:color w:val="auto"/>
        </w:rPr>
        <w:t xml:space="preserve">The following sets forth certain estimated preliminary unaudited selected financial data for the three months ended March 31, 2020, which have been prepared by, and are the responsibility of, our management. Our independent registered public accounting firm, Ernst &amp; Young Hua Ming LLP, has not audited, performed a review specified by the PCAOB for a review of interim financial information as described in AS 4105, </w:t>
      </w:r>
      <w:r>
        <w:rPr>
          <w:rFonts w:ascii="Arial" w:cs="Arial" w:eastAsia="Arial" w:hAnsi="Arial"/>
          <w:sz w:val="17"/>
          <w:szCs w:val="17"/>
          <w:i w:val="1"/>
          <w:iCs w:val="1"/>
          <w:color w:val="auto"/>
        </w:rPr>
        <w:t>Reviews of Interim Financial Information</w:t>
      </w:r>
      <w:r>
        <w:rPr>
          <w:rFonts w:ascii="Arial" w:cs="Arial" w:eastAsia="Arial" w:hAnsi="Arial"/>
          <w:sz w:val="17"/>
          <w:szCs w:val="17"/>
          <w:color w:val="auto"/>
        </w:rPr>
        <w:t>, or performed any procedures with respect to the estimated preliminary financial results. Accordingly,</w:t>
      </w:r>
      <w:r>
        <w:rPr>
          <w:rFonts w:ascii="Arial" w:cs="Arial" w:eastAsia="Arial" w:hAnsi="Arial"/>
          <w:sz w:val="17"/>
          <w:szCs w:val="17"/>
          <w:i w:val="1"/>
          <w:iCs w:val="1"/>
          <w:color w:val="auto"/>
        </w:rPr>
        <w:t xml:space="preserve"> </w:t>
      </w:r>
      <w:r>
        <w:rPr>
          <w:rFonts w:ascii="Arial" w:cs="Arial" w:eastAsia="Arial" w:hAnsi="Arial"/>
          <w:sz w:val="17"/>
          <w:szCs w:val="17"/>
          <w:color w:val="auto"/>
        </w:rPr>
        <w:t>Ernst &amp; Young Hua Ming LLP does not express an opinion or any other form of assurance with respect thereto. We are still in the process of preparing our full financial statements for the three months ended March 31, 2020. These estimated preliminary results are based on the information currently available to us as of the date of this prospectus. Accordingly, our actual results may differ from the estimated preliminary results presented here and will not be finalized until after the completion of this offering.</w:t>
      </w:r>
    </w:p>
    <w:p>
      <w:pPr>
        <w:spacing w:after="0" w:line="84" w:lineRule="exact"/>
        <w:rPr>
          <w:sz w:val="20"/>
          <w:szCs w:val="20"/>
          <w:color w:val="auto"/>
        </w:rPr>
      </w:pPr>
    </w:p>
    <w:p>
      <w:pPr>
        <w:ind w:left="1240" w:right="20" w:hanging="415"/>
        <w:spacing w:after="0" w:line="311"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estimate that our revenues for the three months ended March 31, 2020 were within the range of RMB1,350.0 million to</w:t>
      </w:r>
      <w:r>
        <w:rPr>
          <w:rFonts w:ascii="Arial" w:cs="Arial" w:eastAsia="Arial" w:hAnsi="Arial"/>
          <w:sz w:val="16"/>
          <w:szCs w:val="16"/>
          <w:i w:val="1"/>
          <w:iCs w:val="1"/>
          <w:color w:val="auto"/>
        </w:rPr>
        <w:t xml:space="preserve"> </w:t>
      </w:r>
      <w:r>
        <w:rPr>
          <w:rFonts w:ascii="Arial" w:cs="Arial" w:eastAsia="Arial" w:hAnsi="Arial"/>
          <w:sz w:val="16"/>
          <w:szCs w:val="16"/>
          <w:color w:val="auto"/>
        </w:rPr>
        <w:t>RMB1,400.0 million, representing an increase in the range of 59.6% to 65.5% from RMB845.8 million for the three months ended March 31, 2019, primarily due to the growth of our business in both public cloud services and enterprise cloud services.</w:t>
      </w:r>
    </w:p>
    <w:p>
      <w:pPr>
        <w:spacing w:after="0" w:line="54" w:lineRule="exact"/>
        <w:rPr>
          <w:rFonts w:ascii="Arial" w:cs="Arial" w:eastAsia="Arial" w:hAnsi="Arial"/>
          <w:sz w:val="16"/>
          <w:szCs w:val="16"/>
          <w:color w:val="auto"/>
        </w:rPr>
      </w:pPr>
    </w:p>
    <w:p>
      <w:pPr>
        <w:ind w:left="1240" w:right="1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Gross profit margin</w:t>
      </w:r>
      <w:r>
        <w:rPr>
          <w:rFonts w:ascii="Arial" w:cs="Arial" w:eastAsia="Arial" w:hAnsi="Arial"/>
          <w:sz w:val="18"/>
          <w:szCs w:val="18"/>
          <w:color w:val="auto"/>
        </w:rPr>
        <w:t>. We estimate that our gross profit margin for the three months ended March 31, 2020 was not less than our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margin of 4.6% for the three months ended December 31, 2019.</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Operating loss margin. </w:t>
      </w:r>
      <w:r>
        <w:rPr>
          <w:rFonts w:ascii="Arial" w:cs="Arial" w:eastAsia="Arial" w:hAnsi="Arial"/>
          <w:sz w:val="18"/>
          <w:szCs w:val="18"/>
          <w:color w:val="auto"/>
        </w:rPr>
        <w:t>We estimate that our operating loss margin for the three months ended March 31, 2020 was not more than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 margin of 25.8% for the three months ended December 31, 2019.</w:t>
      </w:r>
    </w:p>
    <w:p>
      <w:pPr>
        <w:spacing w:after="0" w:line="75" w:lineRule="exact"/>
        <w:rPr>
          <w:rFonts w:ascii="Arial" w:cs="Arial" w:eastAsia="Arial" w:hAnsi="Arial"/>
          <w:sz w:val="18"/>
          <w:szCs w:val="18"/>
          <w:color w:val="auto"/>
        </w:rPr>
      </w:pPr>
    </w:p>
    <w:p>
      <w:pPr>
        <w:ind w:left="1240" w:hanging="415"/>
        <w:spacing w:after="0" w:line="25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Net loss margin. </w:t>
      </w:r>
      <w:r>
        <w:rPr>
          <w:rFonts w:ascii="Arial" w:cs="Arial" w:eastAsia="Arial" w:hAnsi="Arial"/>
          <w:sz w:val="18"/>
          <w:szCs w:val="18"/>
          <w:color w:val="auto"/>
        </w:rPr>
        <w:t>We estimate that our net loss margin for the three months ended March 31, 2020 was not more than 27.4%,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net loss margin of 20.4% for the three months ended December 31, 2019. The increase in our net loss margin was primarily due to our estimated foreign exchange loss in the three months ended March 31, 2020, as compared to our foreign exchange gains recorded in the three months ended December 31, 2019, as a result of the fluctuations of the exchange rates of Renminbi against U.S. dollars.</w:t>
      </w:r>
    </w:p>
    <w:p>
      <w:pPr>
        <w:spacing w:after="0" w:line="188"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color w:val="auto"/>
        </w:rPr>
        <w:t>We cannot assure you that our estimated preliminary results for the three months ended Mach 31, 2020 will be indicative of our financial results for future interim periods or for the full year ending December 31, 2020. These estimates should not be viewed as a substitute for our full interim or annual financial statements prepared in accordance with U.S. GAAP. Please refer to “Management’s Discussion and Analysis of Financial Condition and Results of Operations“ and “Risk Factors“ included elsewhere in this prospectus for information regarding trends and other factors that may affect our results of operations.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In January 2012, we incorporated Kingsoft Cloud Holdings Limited under the laws of the Cayman Islands as our offshore holding company. In February 2012, we incorporated Kingsoft Cloud Corporation Limited as Kingsoft Cloud Holdings Limited’s wholly-owned subsidiary in Hong Kong.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930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2893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In April 2012, Kingsoft Cloud Corporation Limited incorporated Beijing Kingsoft Cloud Technology Co., Ltd., or Beijing Kingsoft Cloud, as its wholly-owned subsidiary in the PRC. In December 2015, Kingsoft Cloud Corporation Limited incorporated another wholly-owned subsidiary, Beijing Yunxiang Zhisheng Technology Co., Ltd., or Yunxiang Zhisheng, in the PRC. See “Corporate History and Structure—Corporate Structure.”</w:t>
      </w:r>
    </w:p>
    <w:p>
      <w:pPr>
        <w:spacing w:after="0" w:line="149"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In December 2017, Kingsoft Cloud Corporation Limited incorporated a wholly-owned subsidiary, Kingsoft Cloud Inc., in the United States, to operate cloud service business and conduct research and development on cloud technology and products.</w:t>
      </w:r>
    </w:p>
    <w:p>
      <w:pPr>
        <w:spacing w:after="0" w:line="170"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Beijing Kingsoft Cloud entered into a series of contractual arrangements, as amended and restated, with Zhuhai Kingsoft Cloud Technology Co., Ltd., or Zhuhai Kingsoft Cloud, and its wholly-owned subsidiary, Beijing Kingsoft Cloud Network Technology Co., Ltd., or Kingsoft Cloud Network, through which we obtained control over Zhuhai Kingsoft Cloud. In addition, Yunxiang Zhisheng entered into a series of contractual arrangements with Kingsoft Cloud (Beijing) Information Technology Co., Ltd., or Kingsoft Cloud Information, and its wholly-owned subsidiary, Beijing Jinxun Ruibo Technology Co., Ltd., or Jinxun Ruibo, which enable us to obtain control over the Kingsoft Cloud Information to operate value-added telecommunication services. As a result, we are regarded as the primary beneficiary of each of Zhuhai Kingsoft Cloud and Kingsoft Cloud Information. We treat them as our consolidated affiliated entities under U.S. GAAP and have consolidated the financial results of these entities in our consolidated financial statements in accordance with U.S. GAAP. We refer to Beijing Kingsoft Cloud and Yunxiang Zhisheng as our wholly foreign owned entities, or WFOEs, and refer to Zhuhai Kingsoft Cloud, Kingsoft Cloud Information and their subsidiaries, as our variable interest entities, or our VIEs, in this prospectus. For more details and risks related to our VIE structure, please see “Corporate History and Structure —Contractual Arrangements with Our VIEs and the Their Respective Shareholders” and “Risk Factors—Risks Relating to Our Corporate Structure.”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The following diagram illustrates our corporate structure, including our significant subsidiaries and VIEs, immediately upon the completion of this offering, assuming no exercise of the underwriters’ option to purchase additional ADSs. Kingsoft Group and Xiaomi, our existing shareholders, have indicated interest in purchasing up to US$25 million and US$50 million, respectively, of the ADSs being offered in this offering at the initial public offering price and on the same terms as the other ADSs being offered. Such indications of interests are not binding agreements or commitments to purchase, and we and the underwriters are currently under no obligations to sell any ADSs to Kingsoft Group or Xiaomi. The calculations in the diagram below do not take into account of these existing shareholders’ subscription in this offering,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Notes:</w:t>
      </w:r>
    </w:p>
    <w:p>
      <w:pPr>
        <w:spacing w:after="0" w:line="28" w:lineRule="exact"/>
        <w:rPr>
          <w:sz w:val="20"/>
          <w:szCs w:val="20"/>
          <w:color w:val="auto"/>
        </w:rPr>
      </w:pPr>
    </w:p>
    <w:p>
      <w:pPr>
        <w:jc w:val="both"/>
        <w:ind w:left="720" w:right="40" w:hanging="422"/>
        <w:spacing w:after="0" w:line="227" w:lineRule="auto"/>
        <w:tabs>
          <w:tab w:leader="none" w:pos="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Shareholders of Zhuhai Kingsoft Cloud are Beijing Kingsoft Digital Entertainment Technology Co., Ltd. and Ms. Weiqin Qiu, a family member of a director of Kingsoft Group. Beijing Kingsoft Digital Entertainment Technology Co., Ltd. and Ms. Weiqin Qiu are not shareholders of our company. Beijing Kingsoft Digital Entertainment Technology Co., Ltd. is ultimately owned by Ms. Weiqin Qiu and Ms. Peili Lei, a family member of the chairman of our Board.</w:t>
      </w:r>
    </w:p>
    <w:p>
      <w:pPr>
        <w:ind w:left="720" w:hanging="422"/>
        <w:spacing w:after="0" w:line="221" w:lineRule="auto"/>
        <w:tabs>
          <w:tab w:leader="none" w:pos="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Shareholders of Kingsoft Cloud Information are Mr. Yulin Wang (our director and CEO) and Ms. Weiqin Qiu.</w:t>
      </w:r>
    </w:p>
    <w:p>
      <w:pPr>
        <w:ind w:left="720" w:hanging="422"/>
        <w:spacing w:after="0" w:line="237" w:lineRule="auto"/>
        <w:tabs>
          <w:tab w:leader="none" w:pos="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Six subsidiaries are Xiong’an Kingsoft Cloud Information Technology Co., Ltd., Nanjing Qianyi Shixun Information Technology Co., Ltd., Suzhou Yunxiang Zhisheng Network Technology Co., Ltd., Rizhao Kingsoft Cloud Network Technology Co., Ltd., Hainan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64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300"/>
        <w:spacing w:after="0" w:line="230" w:lineRule="auto"/>
        <w:rPr>
          <w:sz w:val="20"/>
          <w:szCs w:val="20"/>
          <w:color w:val="auto"/>
        </w:rPr>
      </w:pPr>
      <w:r>
        <w:rPr>
          <w:rFonts w:ascii="Arial" w:cs="Arial" w:eastAsia="Arial" w:hAnsi="Arial"/>
          <w:sz w:val="14"/>
          <w:szCs w:val="14"/>
          <w:color w:val="auto"/>
        </w:rPr>
        <w:t>ChengMai Yunxiang Zhisheng Network Technology Co., Ltd. and Kingsoft Cloud (Tianjin) Technology Development Co., Ltd., all of which are wholly owned by Kingsoft Cloud Network to operate cloud business for certain projects.</w:t>
      </w:r>
    </w:p>
    <w:p>
      <w:pPr>
        <w:ind w:left="720" w:right="80" w:hanging="422"/>
        <w:spacing w:after="0" w:line="237"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Two subsidiaries are Nanjing Kingsoft Cloud Network Technology Co., Ltd. and Wuhan Kingsoft Cloud Information Technology Co., Ltd., both of which are wholly owned by Jinxun Ruibo to operate cloud business for certain projects.</w:t>
      </w: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300" w:right="140" w:firstLine="426"/>
        <w:spacing w:after="0" w:line="254" w:lineRule="auto"/>
        <w:rPr>
          <w:sz w:val="20"/>
          <w:szCs w:val="20"/>
          <w:color w:val="auto"/>
        </w:rPr>
      </w:pPr>
      <w:r>
        <w:rPr>
          <w:rFonts w:ascii="Arial" w:cs="Arial" w:eastAsia="Arial" w:hAnsi="Arial"/>
          <w:sz w:val="18"/>
          <w:szCs w:val="18"/>
          <w:color w:val="auto"/>
        </w:rPr>
        <w:t>Our principal executive offices are located at Kingsoft Tower, No. 33, Xiao Ying West Road, Haidian District Beijing, 100085, the People’s Republic of China. Our telephone number at this address is +86 10 6292 7777. Our registered office in the Cayman Islands is located at Cricket Square, Hutchins Drive, P.O. Box 2681, Grand Cayman KY1-1111, Cayman Islands. Our agent for service of process in the United States is Cogency Global Inc. located at 122 East 42nd Street, 18th Floor, New York, NY 10168.</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Investors should contact us for any inquiries through the address and telephone number of our principal executive office. Our principal website is https://www.ksyun.com/. The information contained on our website is not a part of this prospectus.</w:t>
      </w:r>
    </w:p>
    <w:p>
      <w:pPr>
        <w:spacing w:after="0" w:line="38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required when they are adopted for public companies. As a result, our operating results and financial statements may not be comparable to the operating results and financial statements of other companies who have adopted the new or revised accounting standards.</w:t>
      </w:r>
    </w:p>
    <w:p>
      <w:pPr>
        <w:spacing w:after="0" w:line="16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will remain an emerging growth company until the earliest of (i) the last day of our fiscal year during which we have total annual gross revenues of at least US$1.07 billion; (ii) the last day of our 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 See “Risk Factors—Risks Relating to the ADSs and This Offering—We are an emerging growth company within the meaning of the Securities Act and may take advantage of certain reduced reporting requirements.”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73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131" w:lineRule="exact"/>
        <w:rPr>
          <w:sz w:val="20"/>
          <w:szCs w:val="20"/>
          <w:color w:val="auto"/>
        </w:rPr>
      </w:pPr>
    </w:p>
    <w:p>
      <w:pPr>
        <w:ind w:left="1240" w:right="2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ADSs to purchase up to 3,750,000 additional ADSs representing 56,250,000 ordinary shares from us; and</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31" w:lineRule="exact"/>
        <w:rPr>
          <w:sz w:val="20"/>
          <w:szCs w:val="20"/>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“ADSs” refer to the American depositary shares, each representing 15 ordinary shares;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“Annualized Revenues” is calculated by dividing the revenues from a customer for the current period by the number of months in the current period and multiplying that amount by 12;</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“ARM” refers to advanced reduced instruction set computing machine;</w:t>
      </w:r>
    </w:p>
    <w:p>
      <w:pPr>
        <w:spacing w:after="0" w:line="130" w:lineRule="exact"/>
        <w:rPr>
          <w:rFonts w:ascii="Arial" w:cs="Arial" w:eastAsia="Arial" w:hAnsi="Arial"/>
          <w:sz w:val="18"/>
          <w:szCs w:val="18"/>
          <w:color w:val="auto"/>
        </w:rPr>
      </w:pPr>
    </w:p>
    <w:p>
      <w:pPr>
        <w:ind w:left="1240" w:right="22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Taiwan, Hong Kong and Macau Special Administrative Region;</w:t>
      </w:r>
    </w:p>
    <w:p>
      <w:pPr>
        <w:spacing w:after="0" w:line="75" w:lineRule="exact"/>
        <w:rPr>
          <w:rFonts w:ascii="Arial" w:cs="Arial" w:eastAsia="Arial" w:hAnsi="Arial"/>
          <w:sz w:val="18"/>
          <w:szCs w:val="18"/>
          <w:color w:val="auto"/>
        </w:rPr>
      </w:pPr>
    </w:p>
    <w:p>
      <w:pPr>
        <w:ind w:left="1240" w:right="22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“Enterprise Cloud Service Premium Customer” refers to, (i) for a historical year, a customer with annual revenues of over RMB700,000 generated from enterprise cloud services, or (ii) for the current period, a customer with Annualized Revenues of over RMB700,000 generated from enterprise cloud services;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“GPU” refers to graphics processing unit;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“Hong Kong” or “HK” refers to the Hong Kong Special Administrative Region of the PRC;</w:t>
      </w:r>
    </w:p>
    <w:p>
      <w:pPr>
        <w:spacing w:after="0" w:line="130" w:lineRule="exact"/>
        <w:rPr>
          <w:rFonts w:ascii="Arial" w:cs="Arial" w:eastAsia="Arial" w:hAnsi="Arial"/>
          <w:sz w:val="18"/>
          <w:szCs w:val="18"/>
          <w:color w:val="auto"/>
        </w:rPr>
      </w:pPr>
    </w:p>
    <w:p>
      <w:pPr>
        <w:jc w:val="both"/>
        <w:ind w:left="1240" w:right="22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“IaaS” refers to Infrastructure as a Service, a category of cloud services that provides high-level application programming interface used to dereference various low-level details of underlying network infrastructure like physical computing resources, location, data partitioning, scaling, security, backup, etc.;</w:t>
      </w:r>
    </w:p>
    <w:p>
      <w:pPr>
        <w:spacing w:after="0" w:line="89" w:lineRule="exact"/>
        <w:rPr>
          <w:rFonts w:ascii="Arial" w:cs="Arial" w:eastAsia="Arial" w:hAnsi="Arial"/>
          <w:sz w:val="18"/>
          <w:szCs w:val="18"/>
          <w:color w:val="auto"/>
        </w:rPr>
      </w:pPr>
    </w:p>
    <w:p>
      <w:pPr>
        <w:ind w:left="1240" w:hanging="415"/>
        <w:spacing w:after="0" w:line="308"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“Independent cloud service providers” refer to cloud service providers that are not belonging to any large-scale conglomerates that are involved in a wide range of businesses where they could potentially compete with their customers;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“Kingsoft Group” refers to Kingsoft Corporation Limited (HKEx: 3888), our largest shareholder;</w:t>
      </w:r>
    </w:p>
    <w:p>
      <w:pPr>
        <w:spacing w:after="0" w:line="130" w:lineRule="exact"/>
        <w:rPr>
          <w:rFonts w:ascii="Arial" w:cs="Arial" w:eastAsia="Arial" w:hAnsi="Arial"/>
          <w:sz w:val="18"/>
          <w:szCs w:val="18"/>
          <w:color w:val="auto"/>
        </w:rPr>
      </w:pPr>
    </w:p>
    <w:p>
      <w:pPr>
        <w:ind w:left="1240" w:right="120" w:hanging="415"/>
        <w:spacing w:after="0" w:line="31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dollar retention rate of Public Cloud Service Premium Customers” is calculated by dividing the revenues from our Public Cloud Service Premium Customers, who were also our Public Cloud Service Premium Customers in the previous year, in the indicated period by the revenues from all of our Public Cloud Service Premium Customers in the previous corresponding period;</w:t>
      </w:r>
    </w:p>
    <w:p>
      <w:pPr>
        <w:spacing w:after="0" w:line="54" w:lineRule="exact"/>
        <w:rPr>
          <w:rFonts w:ascii="Arial" w:cs="Arial" w:eastAsia="Arial" w:hAnsi="Arial"/>
          <w:sz w:val="16"/>
          <w:szCs w:val="16"/>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share” refers to our ordinary shares, par value US$0.001 per share;</w:t>
      </w:r>
    </w:p>
    <w:p>
      <w:pPr>
        <w:spacing w:after="0" w:line="130" w:lineRule="exact"/>
        <w:rPr>
          <w:rFonts w:ascii="Arial" w:cs="Arial" w:eastAsia="Arial" w:hAnsi="Arial"/>
          <w:sz w:val="18"/>
          <w:szCs w:val="18"/>
          <w:color w:val="auto"/>
        </w:rPr>
      </w:pPr>
    </w:p>
    <w:p>
      <w:pPr>
        <w:jc w:val="both"/>
        <w:ind w:left="1240" w:right="14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“PaaS” refers to Platform as a Service, a category of cloud services that provides a platform allowing customers to develop, run, and manage applications without the complexity of building and maintaining the infrastructure typically associated with developing and launching an app;</w:t>
      </w:r>
    </w:p>
    <w:p>
      <w:pPr>
        <w:spacing w:after="0" w:line="89"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“Premium Customer” refers to, (i) for a historical year, a customer with annual revenues of over RMB700,000, or (ii) for the current period, a customer with Annualized Revenues of over RMB700,000;</w:t>
      </w:r>
    </w:p>
    <w:p>
      <w:pPr>
        <w:spacing w:after="0" w:line="75" w:lineRule="exact"/>
        <w:rPr>
          <w:rFonts w:ascii="Arial" w:cs="Arial" w:eastAsia="Arial" w:hAnsi="Arial"/>
          <w:sz w:val="18"/>
          <w:szCs w:val="18"/>
          <w:color w:val="auto"/>
        </w:rPr>
      </w:pPr>
    </w:p>
    <w:p>
      <w:pPr>
        <w:ind w:left="1240" w:right="160" w:hanging="415"/>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Cloud Service Premium Customer” refers to, (i) for a historical year, a customer with annual revenues of over RMB700,000 generated from public cloud services, or (ii) for the current period, a customer with Annualized Revenues of over RMB700,000 generated from public cloud services;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“RMB” or “Renminbi” refers to the legal currency of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8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“SaaS” refers to Software as a Service, a category of cloud services that provides a software licensing and delivery model in which software is licensed on a subscription basis and is centrally hosted;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“dollars” or “U.S. dollars” refers to the legal currency of the United States;</w:t>
      </w:r>
    </w:p>
    <w:p>
      <w:pPr>
        <w:spacing w:after="0" w:line="130" w:lineRule="exact"/>
        <w:rPr>
          <w:rFonts w:ascii="Arial" w:cs="Arial" w:eastAsia="Arial" w:hAnsi="Arial"/>
          <w:sz w:val="18"/>
          <w:szCs w:val="18"/>
          <w:color w:val="auto"/>
        </w:rPr>
      </w:pPr>
    </w:p>
    <w:p>
      <w:pPr>
        <w:ind w:left="1240" w:right="160" w:hanging="415"/>
        <w:spacing w:after="0" w:line="259"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“variable interest entities” or “VIEs” refer to the PRC entities of which we have power to control the management, and financial and operating policies and have the right to recognize and receive substantially all the economic benefits and in which we have an exclusive option to purchase all or part of the equity interests and all or a portion of the assets at the minimum price possible to the extent permitted by PRC law;</w:t>
      </w:r>
    </w:p>
    <w:p>
      <w:pPr>
        <w:spacing w:after="0" w:line="92" w:lineRule="exact"/>
        <w:rPr>
          <w:rFonts w:ascii="Arial" w:cs="Arial" w:eastAsia="Arial" w:hAnsi="Arial"/>
          <w:sz w:val="18"/>
          <w:szCs w:val="18"/>
          <w:color w:val="auto"/>
        </w:rPr>
      </w:pPr>
    </w:p>
    <w:p>
      <w:pPr>
        <w:ind w:left="1240" w:right="10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 “our company,” the “Company,” and “our” refer to Kingsoft Cloud Holdings Limited, a Cayman Islands company and its subsidiaries and, in the context of describing our operations and consolidated financial information, its consolidated variable interest entities, or VIEs; and</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“Xiaomi” refers Xiaomi Corporation (HKEx: 1810), one of our shareholders.</w:t>
      </w:r>
    </w:p>
    <w:p>
      <w:pPr>
        <w:spacing w:after="0" w:line="225"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Unless specifically indicated otherwise or unless the context otherwise requires, all references to our ordinary shares as of the date of this prospectus exclude a total of 5,475,254 ordinary shares we repurchased in February 2020 and a total of 169,294,128 ordinary shares issued but deemed to be not outstanding as of the date of this prospectus, consisting of : (i) the 165,694,128 ordinary shares underlying share awards under our share incentive plans that are issued but deemed to be not outstanding and held by TMF Trust (HK) Limited, as trustee of the share awards, and</w:t>
      </w:r>
    </w:p>
    <w:p>
      <w:pPr>
        <w:spacing w:after="0" w:line="1" w:lineRule="exact"/>
        <w:rPr>
          <w:sz w:val="20"/>
          <w:szCs w:val="20"/>
          <w:color w:val="auto"/>
        </w:rPr>
      </w:pPr>
    </w:p>
    <w:p>
      <w:pPr>
        <w:ind w:left="560" w:hanging="26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3,600,000 ordinary shares underlying share awards under our share incentive plans that are issued but deemed to be not outstanding and</w:t>
      </w:r>
    </w:p>
    <w:p>
      <w:pPr>
        <w:spacing w:after="0" w:line="32" w:lineRule="exact"/>
        <w:rPr>
          <w:rFonts w:ascii="Arial" w:cs="Arial" w:eastAsia="Arial" w:hAnsi="Arial"/>
          <w:sz w:val="16"/>
          <w:szCs w:val="16"/>
          <w:color w:val="auto"/>
        </w:rPr>
      </w:pPr>
    </w:p>
    <w:p>
      <w:pPr>
        <w:ind w:left="300"/>
        <w:spacing w:after="0" w:line="253" w:lineRule="auto"/>
        <w:rPr>
          <w:rFonts w:ascii="Arial" w:cs="Arial" w:eastAsia="Arial" w:hAnsi="Arial"/>
          <w:sz w:val="16"/>
          <w:szCs w:val="16"/>
          <w:color w:val="auto"/>
        </w:rPr>
      </w:pPr>
      <w:r>
        <w:rPr>
          <w:rFonts w:ascii="Arial" w:cs="Arial" w:eastAsia="Arial" w:hAnsi="Arial"/>
          <w:sz w:val="18"/>
          <w:szCs w:val="18"/>
          <w:color w:val="auto"/>
        </w:rPr>
        <w:t>held by River Jade Holdings Limited, a British Virgin Islands company ultimately controlled by Mr. Wang, assuming that the underwriters will not exercise their option to purchase additional ADSs. Among the ordinary shares issued but deemed to be not outstanding as of the date of this prospectus, an aggregate of 9,400,000 ordinary shares underlying share awards are subject to accelerated vesting and will become outstanding upon completion of this offering, including (i) 3,600,000 ordinary shares held by River Jade Holdings Limited and (ii) 5,800,000 ordinary shares held by TMF Trust (HK) Limited.</w:t>
      </w:r>
    </w:p>
    <w:p>
      <w:pPr>
        <w:spacing w:after="0" w:line="191"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Unless otherwise noted, all translations from Renminbi to U.S. dollars and from U.S. dollars to Renminbi in this prospectus are made at RMB6.9618 to US$1.00, the exchange rate set forth in the H.10 statistical release of the Federal Reserve Board on December 31, 2019. We make no representation that any Renminbi or U.S. dollar amounts could have been, or could be, converted into U.S. dollars or Renminbi, as the case may be, at any particular rate, the rates stated below, or at all. On April 24, 2020, the noon buying rate for Renminbi was RMB7.0813 to US$1.00.</w:t>
      </w:r>
    </w:p>
    <w:p>
      <w:pPr>
        <w:spacing w:after="0" w:line="157" w:lineRule="exact"/>
        <w:rPr>
          <w:sz w:val="20"/>
          <w:szCs w:val="20"/>
          <w:color w:val="auto"/>
        </w:rPr>
      </w:pPr>
    </w:p>
    <w:p>
      <w:pPr>
        <w:ind w:left="300" w:right="120" w:firstLine="426"/>
        <w:spacing w:after="0" w:line="254" w:lineRule="auto"/>
        <w:rPr>
          <w:sz w:val="20"/>
          <w:szCs w:val="20"/>
          <w:color w:val="auto"/>
        </w:rPr>
      </w:pPr>
      <w:r>
        <w:rPr>
          <w:rFonts w:ascii="Arial" w:cs="Arial" w:eastAsia="Arial" w:hAnsi="Arial"/>
          <w:sz w:val="18"/>
          <w:szCs w:val="18"/>
          <w:color w:val="auto"/>
        </w:rPr>
        <w:t>This prospectus contains information derived from various public sources and certain information from an industry report in March 2020, as supplemented, that was commissioned by us and prepared by Frost &amp; Sullivan, a third-party industry research firm, to provide information regarding our industry and market position in China.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20" w:type="dxa"/>
            <w:vAlign w:val="bottom"/>
            <w:tcBorders>
              <w:top w:val="single" w:sz="8" w:color="auto"/>
              <w:left w:val="single" w:sz="8" w:color="auto"/>
            </w:tcBorders>
          </w:tcPr>
          <w:p>
            <w:pPr>
              <w:spacing w:after="0"/>
              <w:rPr>
                <w:sz w:val="24"/>
                <w:szCs w:val="24"/>
                <w:color w:val="auto"/>
              </w:rPr>
            </w:pPr>
          </w:p>
        </w:tc>
        <w:tc>
          <w:tcPr>
            <w:tcW w:w="700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 range</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We currently estimate that the initial public offering price will be between US$16.00 and</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US$18.00 per ADS.</w:t>
            </w:r>
          </w:p>
        </w:tc>
      </w:tr>
      <w:tr>
        <w:trPr>
          <w:trHeight w:val="445"/>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25,000,000 ADSs (or 28,750,000 ADSs if the underwriters exercise their option to</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purchase additional ADSs in full).</w:t>
            </w:r>
          </w:p>
        </w:tc>
      </w:tr>
      <w:tr>
        <w:trPr>
          <w:trHeight w:val="445"/>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ADSs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Each ADS represents 15 ordinary shares, par value US$0.001 per share. The depositary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will hold the ordinary shares underlying the ADSs with its custodian. You will have rights</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as provided in the deposit agreement.</w:t>
            </w:r>
          </w:p>
        </w:tc>
      </w:tr>
      <w:tr>
        <w:trPr>
          <w:trHeight w:val="445"/>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We do not expect to pay dividends in the foreseeable future. If, however, we declare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dividends on our ordinary shares, the depositary will pay you the cash dividends and other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distributions it receives on our ordinary shares, after deducting its fees and expenses, in</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accordance with the terms set forth in the deposit agreement.</w:t>
            </w:r>
          </w:p>
        </w:tc>
      </w:tr>
      <w:tr>
        <w:trPr>
          <w:trHeight w:val="445"/>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You may surrender the ADSs to the depositary for cancellation to receive ordinary shares.</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depositary will charge you fees for any cancellation.</w:t>
            </w:r>
          </w:p>
        </w:tc>
      </w:tr>
      <w:tr>
        <w:trPr>
          <w:trHeight w:val="445"/>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We may amend or terminate the deposit agreement without your consent. If you continue to</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hold the ADSs after an amendment to the deposit agreement, you agree to be bound by the</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deposit agreement as amended.</w:t>
            </w:r>
          </w:p>
        </w:tc>
      </w:tr>
      <w:tr>
        <w:trPr>
          <w:trHeight w:val="445"/>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To better understand the terms of the ADSs, you should carefully read the “Description of</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American Depositary Shares” section of this prospectus. You should also read the deposit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agreement, which is filed as an exhibit to the registration statement that includes this</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prospectus.</w:t>
            </w:r>
          </w:p>
        </w:tc>
      </w:tr>
      <w:tr>
        <w:trPr>
          <w:trHeight w:val="459"/>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Ordinary shares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We will issue 375,000,000 ordinary shares represented by the ADSs in this offering.</w:t>
            </w:r>
          </w:p>
        </w:tc>
      </w:tr>
      <w:tr>
        <w:trPr>
          <w:trHeight w:val="458"/>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All options, regardless of grant dates, will entitle holders to the equivalent number of</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ordinary shares once the vesting and exercising conditions on such share-based</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compensation awards are met.</w:t>
            </w:r>
          </w:p>
        </w:tc>
      </w:tr>
      <w:tr>
        <w:trPr>
          <w:trHeight w:val="459"/>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See “Description of Share Capital.”</w:t>
            </w:r>
          </w:p>
        </w:tc>
      </w:tr>
      <w:tr>
        <w:trPr>
          <w:trHeight w:val="445"/>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Ordinary shares outstanding immediately after this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3,003,966,493 ordinary shares, par value US$0.001 per share (or 3,060,216,493 ordinary</w:t>
            </w:r>
          </w:p>
        </w:tc>
      </w:tr>
      <w:tr>
        <w:trPr>
          <w:trHeight w:val="230"/>
        </w:trPr>
        <w:tc>
          <w:tcPr>
            <w:tcW w:w="40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offering</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shares if the underwriters exercise their option to purchase additional ADSs in full).</w:t>
            </w:r>
          </w:p>
        </w:tc>
      </w:tr>
      <w:tr>
        <w:trPr>
          <w:trHeight w:val="458"/>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 to purchase additional ADSs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We have granted to the underwriters the right to purchase up to an additional 3,750,000</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ADSs from us within 30 days of the date of this prospectus in connection with the offering.</w:t>
            </w:r>
          </w:p>
        </w:tc>
      </w:tr>
      <w:tr>
        <w:trPr>
          <w:trHeight w:val="240"/>
        </w:trPr>
        <w:tc>
          <w:tcPr>
            <w:tcW w:w="4020" w:type="dxa"/>
            <w:vAlign w:val="bottom"/>
            <w:tcBorders>
              <w:left w:val="single" w:sz="8" w:color="auto"/>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r>
      <w:tr>
        <w:trPr>
          <w:trHeight w:val="604"/>
        </w:trPr>
        <w:tc>
          <w:tcPr>
            <w:tcW w:w="4020" w:type="dxa"/>
            <w:vAlign w:val="bottom"/>
          </w:tcPr>
          <w:p>
            <w:pPr>
              <w:spacing w:after="0"/>
              <w:rPr>
                <w:sz w:val="24"/>
                <w:szCs w:val="24"/>
                <w:color w:val="auto"/>
              </w:rPr>
            </w:pPr>
          </w:p>
        </w:tc>
        <w:tc>
          <w:tcPr>
            <w:tcW w:w="7000" w:type="dxa"/>
            <w:vAlign w:val="bottom"/>
          </w:tcPr>
          <w:p>
            <w:pPr>
              <w:ind w:left="14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76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7760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Listing</w:t>
            </w: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2"/>
              </w:rPr>
              <w:t>We have applied to list the ADSs representing our ordinary shares on the Nasdaq Global</w:t>
            </w:r>
          </w:p>
        </w:tc>
      </w:tr>
      <w:tr>
        <w:trPr>
          <w:trHeight w:val="230"/>
        </w:trPr>
        <w:tc>
          <w:tcPr>
            <w:tcW w:w="3220" w:type="dxa"/>
            <w:vAlign w:val="bottom"/>
          </w:tcPr>
          <w:p>
            <w:pPr>
              <w:spacing w:after="0"/>
              <w:rPr>
                <w:sz w:val="20"/>
                <w:szCs w:val="20"/>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rPr>
              <w:t>Select Market, or Nasdaq under the symbol “KC.”</w:t>
            </w:r>
          </w:p>
        </w:tc>
      </w:tr>
      <w:tr>
        <w:trPr>
          <w:trHeight w:val="445"/>
        </w:trPr>
        <w:tc>
          <w:tcPr>
            <w:tcW w:w="3220" w:type="dxa"/>
            <w:vAlign w:val="bottom"/>
          </w:tcPr>
          <w:p>
            <w:pPr>
              <w:spacing w:after="0"/>
              <w:rPr>
                <w:sz w:val="20"/>
                <w:szCs w:val="20"/>
                <w:color w:val="auto"/>
              </w:rPr>
            </w:pPr>
            <w:r>
              <w:rPr>
                <w:rFonts w:ascii="Arial" w:cs="Arial" w:eastAsia="Arial" w:hAnsi="Arial"/>
                <w:sz w:val="18"/>
                <w:szCs w:val="18"/>
                <w:color w:val="auto"/>
              </w:rPr>
              <w:t>Use of proceeds</w:t>
            </w: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3"/>
              </w:rPr>
              <w:t>We expect to receive net proceeds of approximately US$392.0 million from this offering,</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5"/>
              </w:rPr>
              <w:t>based on an assumed initial public offering price of US$17.00 per ADS, the midpoint of</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1"/>
              </w:rPr>
              <w:t>the estimated public offering price range shown on the front cover of this prospectus, after</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7"/>
              </w:rPr>
              <w:t>deducting underwriting discounts and commissions and estimated offering expenses</w:t>
            </w:r>
          </w:p>
        </w:tc>
      </w:tr>
      <w:tr>
        <w:trPr>
          <w:trHeight w:val="230"/>
        </w:trPr>
        <w:tc>
          <w:tcPr>
            <w:tcW w:w="3220" w:type="dxa"/>
            <w:vAlign w:val="bottom"/>
          </w:tcPr>
          <w:p>
            <w:pPr>
              <w:spacing w:after="0"/>
              <w:rPr>
                <w:sz w:val="20"/>
                <w:szCs w:val="20"/>
                <w:color w:val="auto"/>
              </w:rPr>
            </w:pPr>
          </w:p>
        </w:tc>
        <w:tc>
          <w:tcPr>
            <w:tcW w:w="3880" w:type="dxa"/>
            <w:vAlign w:val="bottom"/>
            <w:gridSpan w:val="2"/>
          </w:tcPr>
          <w:p>
            <w:pPr>
              <w:ind w:left="820"/>
              <w:spacing w:after="0"/>
              <w:rPr>
                <w:sz w:val="20"/>
                <w:szCs w:val="20"/>
                <w:color w:val="auto"/>
              </w:rPr>
            </w:pPr>
            <w:r>
              <w:rPr>
                <w:rFonts w:ascii="Arial" w:cs="Arial" w:eastAsia="Arial" w:hAnsi="Arial"/>
                <w:sz w:val="18"/>
                <w:szCs w:val="18"/>
                <w:color w:val="auto"/>
              </w:rPr>
              <w:t>payable by us.</w:t>
            </w:r>
          </w:p>
        </w:tc>
        <w:tc>
          <w:tcPr>
            <w:tcW w:w="3520" w:type="dxa"/>
            <w:vAlign w:val="bottom"/>
          </w:tcPr>
          <w:p>
            <w:pPr>
              <w:spacing w:after="0"/>
              <w:rPr>
                <w:sz w:val="20"/>
                <w:szCs w:val="20"/>
                <w:color w:val="auto"/>
              </w:rPr>
            </w:pPr>
          </w:p>
        </w:tc>
      </w:tr>
      <w:tr>
        <w:trPr>
          <w:trHeight w:val="432"/>
        </w:trPr>
        <w:tc>
          <w:tcPr>
            <w:tcW w:w="3220" w:type="dxa"/>
            <w:vAlign w:val="bottom"/>
          </w:tcPr>
          <w:p>
            <w:pPr>
              <w:spacing w:after="0"/>
              <w:rPr>
                <w:sz w:val="24"/>
                <w:szCs w:val="24"/>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rPr>
              <w:t>We intend to use the net proceeds for the following purposes:</w:t>
            </w:r>
          </w:p>
        </w:tc>
      </w:tr>
      <w:tr>
        <w:trPr>
          <w:trHeight w:val="459"/>
        </w:trPr>
        <w:tc>
          <w:tcPr>
            <w:tcW w:w="32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w w:val="92"/>
              </w:rPr>
              <w:t>approximately 50% to further invest in upgrading and expanding our infrastructure;</w:t>
            </w:r>
          </w:p>
        </w:tc>
      </w:tr>
      <w:tr>
        <w:trPr>
          <w:trHeight w:val="445"/>
        </w:trPr>
        <w:tc>
          <w:tcPr>
            <w:tcW w:w="32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w w:val="99"/>
              </w:rPr>
              <w:t>approximately 25% to further invest in technology and product development,</w:t>
            </w:r>
          </w:p>
        </w:tc>
      </w:tr>
      <w:tr>
        <w:trPr>
          <w:trHeight w:val="216"/>
        </w:trPr>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w w:val="98"/>
              </w:rPr>
              <w:t>especially in artificial intelligence, big data, cloud technologies and internet of</w:t>
            </w:r>
          </w:p>
        </w:tc>
      </w:tr>
      <w:tr>
        <w:trPr>
          <w:trHeight w:val="230"/>
        </w:trPr>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things;</w:t>
            </w:r>
          </w:p>
        </w:tc>
        <w:tc>
          <w:tcPr>
            <w:tcW w:w="3520" w:type="dxa"/>
            <w:vAlign w:val="bottom"/>
          </w:tcPr>
          <w:p>
            <w:pPr>
              <w:spacing w:after="0"/>
              <w:rPr>
                <w:sz w:val="20"/>
                <w:szCs w:val="20"/>
                <w:color w:val="auto"/>
              </w:rPr>
            </w:pPr>
          </w:p>
        </w:tc>
      </w:tr>
      <w:tr>
        <w:trPr>
          <w:trHeight w:val="445"/>
        </w:trPr>
        <w:tc>
          <w:tcPr>
            <w:tcW w:w="32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w w:val="99"/>
              </w:rPr>
              <w:t>approximately 15% to fund the expansion of our ecosystem and international</w:t>
            </w:r>
          </w:p>
        </w:tc>
      </w:tr>
      <w:tr>
        <w:trPr>
          <w:trHeight w:val="230"/>
        </w:trPr>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presence; and</w:t>
            </w:r>
          </w:p>
        </w:tc>
        <w:tc>
          <w:tcPr>
            <w:tcW w:w="3520" w:type="dxa"/>
            <w:vAlign w:val="bottom"/>
          </w:tcPr>
          <w:p>
            <w:pPr>
              <w:spacing w:after="0"/>
              <w:rPr>
                <w:sz w:val="20"/>
                <w:szCs w:val="20"/>
                <w:color w:val="auto"/>
              </w:rPr>
            </w:pPr>
          </w:p>
        </w:tc>
      </w:tr>
      <w:tr>
        <w:trPr>
          <w:trHeight w:val="445"/>
        </w:trPr>
        <w:tc>
          <w:tcPr>
            <w:tcW w:w="3220" w:type="dxa"/>
            <w:vAlign w:val="bottom"/>
          </w:tcPr>
          <w:p>
            <w:pPr>
              <w:spacing w:after="0"/>
              <w:rPr>
                <w:sz w:val="24"/>
                <w:szCs w:val="24"/>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approximately 10% to supplement our working capital for general corporate</w:t>
            </w:r>
          </w:p>
        </w:tc>
      </w:tr>
      <w:tr>
        <w:trPr>
          <w:trHeight w:val="230"/>
        </w:trPr>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purposes.</w:t>
            </w:r>
          </w:p>
        </w:tc>
        <w:tc>
          <w:tcPr>
            <w:tcW w:w="3520" w:type="dxa"/>
            <w:vAlign w:val="bottom"/>
          </w:tcPr>
          <w:p>
            <w:pPr>
              <w:spacing w:after="0"/>
              <w:rPr>
                <w:sz w:val="20"/>
                <w:szCs w:val="20"/>
                <w:color w:val="auto"/>
              </w:rPr>
            </w:pPr>
          </w:p>
        </w:tc>
      </w:tr>
      <w:tr>
        <w:trPr>
          <w:trHeight w:val="445"/>
        </w:trPr>
        <w:tc>
          <w:tcPr>
            <w:tcW w:w="3220" w:type="dxa"/>
            <w:vAlign w:val="bottom"/>
          </w:tcPr>
          <w:p>
            <w:pPr>
              <w:spacing w:after="0"/>
              <w:rPr>
                <w:sz w:val="20"/>
                <w:szCs w:val="20"/>
                <w:color w:val="auto"/>
              </w:rPr>
            </w:pPr>
            <w:r>
              <w:rPr>
                <w:rFonts w:ascii="Arial" w:cs="Arial" w:eastAsia="Arial" w:hAnsi="Arial"/>
                <w:sz w:val="18"/>
                <w:szCs w:val="18"/>
                <w:color w:val="auto"/>
              </w:rPr>
              <w:t>Lock-up</w:t>
            </w: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5"/>
              </w:rPr>
              <w:t>We, our directors, executive officers, existing shareholders and holders of share-based</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1"/>
              </w:rPr>
              <w:t>awards have agreed with the underwriters not to offer, sell, or dispose of any shares of our</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0"/>
              </w:rPr>
              <w:t>share capital or securities convertible into or exchangeable or exercisable for any shares of</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6"/>
              </w:rPr>
              <w:t>our share capital during the 180-day period following the date of this prospectus. See</w:t>
            </w:r>
          </w:p>
        </w:tc>
      </w:tr>
      <w:tr>
        <w:trPr>
          <w:trHeight w:val="230"/>
        </w:trPr>
        <w:tc>
          <w:tcPr>
            <w:tcW w:w="3220" w:type="dxa"/>
            <w:vAlign w:val="bottom"/>
          </w:tcPr>
          <w:p>
            <w:pPr>
              <w:spacing w:after="0"/>
              <w:rPr>
                <w:sz w:val="20"/>
                <w:szCs w:val="20"/>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rPr>
              <w:t>“Shares Eligible for Future Sale” and “Underwriting” for more information.</w:t>
            </w:r>
          </w:p>
        </w:tc>
      </w:tr>
      <w:tr>
        <w:trPr>
          <w:trHeight w:val="445"/>
        </w:trPr>
        <w:tc>
          <w:tcPr>
            <w:tcW w:w="3220" w:type="dxa"/>
            <w:vAlign w:val="bottom"/>
          </w:tcPr>
          <w:p>
            <w:pPr>
              <w:spacing w:after="0"/>
              <w:rPr>
                <w:sz w:val="20"/>
                <w:szCs w:val="20"/>
                <w:color w:val="auto"/>
              </w:rPr>
            </w:pPr>
            <w:r>
              <w:rPr>
                <w:rFonts w:ascii="Arial" w:cs="Arial" w:eastAsia="Arial" w:hAnsi="Arial"/>
                <w:sz w:val="18"/>
                <w:szCs w:val="18"/>
                <w:color w:val="auto"/>
              </w:rPr>
              <w:t>Payment and settlement</w:t>
            </w: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0"/>
              </w:rPr>
              <w:t>The underwriters expect to deliver the ADSs against payment therefor through the facilities</w:t>
            </w:r>
          </w:p>
        </w:tc>
      </w:tr>
      <w:tr>
        <w:trPr>
          <w:trHeight w:val="230"/>
        </w:trPr>
        <w:tc>
          <w:tcPr>
            <w:tcW w:w="3220" w:type="dxa"/>
            <w:vAlign w:val="bottom"/>
          </w:tcPr>
          <w:p>
            <w:pPr>
              <w:spacing w:after="0"/>
              <w:rPr>
                <w:sz w:val="20"/>
                <w:szCs w:val="20"/>
                <w:color w:val="auto"/>
              </w:rPr>
            </w:pPr>
          </w:p>
        </w:tc>
        <w:tc>
          <w:tcPr>
            <w:tcW w:w="3880" w:type="dxa"/>
            <w:vAlign w:val="bottom"/>
            <w:gridSpan w:val="2"/>
          </w:tcPr>
          <w:p>
            <w:pPr>
              <w:ind w:left="820"/>
              <w:spacing w:after="0"/>
              <w:rPr>
                <w:sz w:val="20"/>
                <w:szCs w:val="20"/>
                <w:color w:val="auto"/>
              </w:rPr>
            </w:pPr>
            <w:r>
              <w:rPr>
                <w:rFonts w:ascii="Arial" w:cs="Arial" w:eastAsia="Arial" w:hAnsi="Arial"/>
                <w:sz w:val="18"/>
                <w:szCs w:val="18"/>
                <w:color w:val="auto"/>
              </w:rPr>
              <w:t>of The Depository Trust Company on</w:t>
            </w:r>
          </w:p>
        </w:tc>
        <w:tc>
          <w:tcPr>
            <w:tcW w:w="3520" w:type="dxa"/>
            <w:vAlign w:val="bottom"/>
          </w:tcPr>
          <w:p>
            <w:pPr>
              <w:jc w:val="right"/>
              <w:ind w:right="2570"/>
              <w:spacing w:after="0"/>
              <w:rPr>
                <w:sz w:val="20"/>
                <w:szCs w:val="20"/>
                <w:color w:val="auto"/>
              </w:rPr>
            </w:pPr>
            <w:r>
              <w:rPr>
                <w:rFonts w:ascii="Arial" w:cs="Arial" w:eastAsia="Arial" w:hAnsi="Arial"/>
                <w:sz w:val="18"/>
                <w:szCs w:val="18"/>
                <w:color w:val="auto"/>
              </w:rPr>
              <w:t>, 2020.</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Depositary</w:t>
            </w:r>
          </w:p>
        </w:tc>
        <w:tc>
          <w:tcPr>
            <w:tcW w:w="3880" w:type="dxa"/>
            <w:vAlign w:val="bottom"/>
            <w:gridSpan w:val="2"/>
          </w:tcPr>
          <w:p>
            <w:pPr>
              <w:ind w:left="820"/>
              <w:spacing w:after="0"/>
              <w:rPr>
                <w:sz w:val="20"/>
                <w:szCs w:val="20"/>
                <w:color w:val="auto"/>
              </w:rPr>
            </w:pPr>
            <w:r>
              <w:rPr>
                <w:rFonts w:ascii="Arial" w:cs="Arial" w:eastAsia="Arial" w:hAnsi="Arial"/>
                <w:sz w:val="18"/>
                <w:szCs w:val="18"/>
                <w:color w:val="auto"/>
              </w:rPr>
              <w:t>The Bank of New York Mellon.</w:t>
            </w:r>
          </w:p>
        </w:tc>
        <w:tc>
          <w:tcPr>
            <w:tcW w:w="3520" w:type="dxa"/>
            <w:vAlign w:val="bottom"/>
          </w:tcPr>
          <w:p>
            <w:pPr>
              <w:spacing w:after="0"/>
              <w:rPr>
                <w:sz w:val="24"/>
                <w:szCs w:val="24"/>
                <w:color w:val="auto"/>
              </w:rPr>
            </w:pPr>
          </w:p>
        </w:tc>
      </w:tr>
      <w:tr>
        <w:trPr>
          <w:trHeight w:val="458"/>
        </w:trPr>
        <w:tc>
          <w:tcPr>
            <w:tcW w:w="3220" w:type="dxa"/>
            <w:vAlign w:val="bottom"/>
          </w:tcPr>
          <w:p>
            <w:pPr>
              <w:spacing w:after="0"/>
              <w:rPr>
                <w:sz w:val="20"/>
                <w:szCs w:val="20"/>
                <w:color w:val="auto"/>
              </w:rPr>
            </w:pPr>
            <w:r>
              <w:rPr>
                <w:rFonts w:ascii="Arial" w:cs="Arial" w:eastAsia="Arial" w:hAnsi="Arial"/>
                <w:sz w:val="18"/>
                <w:szCs w:val="18"/>
                <w:color w:val="auto"/>
              </w:rPr>
              <w:t>Assured Entitlement Distribution</w:t>
            </w: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2"/>
              </w:rPr>
              <w:t>Pursuant to Practice Note 15 under the Rules Governing The Listing of Securities on The</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rPr>
              <w:t>Stock Exchange of Hong Kong Limited, in connection with this offering, Kingsoft</w:t>
            </w:r>
          </w:p>
        </w:tc>
      </w:tr>
      <w:tr>
        <w:trPr>
          <w:trHeight w:val="216"/>
        </w:trPr>
        <w:tc>
          <w:tcPr>
            <w:tcW w:w="3220" w:type="dxa"/>
            <w:vAlign w:val="bottom"/>
          </w:tcPr>
          <w:p>
            <w:pPr>
              <w:spacing w:after="0"/>
              <w:rPr>
                <w:sz w:val="18"/>
                <w:szCs w:val="18"/>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w w:val="93"/>
              </w:rPr>
              <w:t>Corporation Limited, or Kingsoft Group, intends to make available to its shareholders an</w:t>
            </w:r>
          </w:p>
        </w:tc>
      </w:tr>
      <w:tr>
        <w:trPr>
          <w:trHeight w:val="230"/>
        </w:trPr>
        <w:tc>
          <w:tcPr>
            <w:tcW w:w="3220" w:type="dxa"/>
            <w:vAlign w:val="bottom"/>
          </w:tcPr>
          <w:p>
            <w:pPr>
              <w:spacing w:after="0"/>
              <w:rPr>
                <w:sz w:val="20"/>
                <w:szCs w:val="20"/>
                <w:color w:val="auto"/>
              </w:rPr>
            </w:pPr>
          </w:p>
        </w:tc>
        <w:tc>
          <w:tcPr>
            <w:tcW w:w="7400" w:type="dxa"/>
            <w:vAlign w:val="bottom"/>
            <w:gridSpan w:val="3"/>
          </w:tcPr>
          <w:p>
            <w:pPr>
              <w:ind w:left="820"/>
              <w:spacing w:after="0"/>
              <w:rPr>
                <w:sz w:val="20"/>
                <w:szCs w:val="20"/>
                <w:color w:val="auto"/>
              </w:rPr>
            </w:pPr>
            <w:r>
              <w:rPr>
                <w:rFonts w:ascii="Arial" w:cs="Arial" w:eastAsia="Arial" w:hAnsi="Arial"/>
                <w:sz w:val="18"/>
                <w:szCs w:val="18"/>
                <w:color w:val="auto"/>
              </w:rPr>
              <w:t>“assured entitlement” to a certain portion of our ordinary shares.</w:t>
            </w:r>
          </w:p>
        </w:tc>
      </w:tr>
    </w:tbl>
    <w:p>
      <w:pPr>
        <w:spacing w:after="0" w:line="229" w:lineRule="exact"/>
        <w:rPr>
          <w:sz w:val="20"/>
          <w:szCs w:val="20"/>
          <w:color w:val="auto"/>
        </w:rPr>
      </w:pPr>
    </w:p>
    <w:p>
      <w:pPr>
        <w:ind w:left="4340"/>
        <w:spacing w:after="0" w:line="272" w:lineRule="auto"/>
        <w:rPr>
          <w:sz w:val="20"/>
          <w:szCs w:val="20"/>
          <w:color w:val="auto"/>
        </w:rPr>
      </w:pPr>
      <w:r>
        <w:rPr>
          <w:rFonts w:ascii="Arial" w:cs="Arial" w:eastAsia="Arial" w:hAnsi="Arial"/>
          <w:sz w:val="17"/>
          <w:szCs w:val="17"/>
          <w:color w:val="auto"/>
        </w:rPr>
        <w:t>As our ordinary shares are not expected to be listed on any stock exchange, Kingsoft Group intends to effect the Assured Entitlement Distribution by providing to its shareholders a “distribution in specie.” The distribution will be made without any consideration being paid by Kingsoft Group’s shareholders. Kingsoft Group’s shareholders who are entitled to fractional ADSs, who elect to receive cash in lieu of ADSs, who are located in the United States or are U.S. persons, or are otherwise ineligible holders, will only receive cash in the Assured Entitlement Distribution.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87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4487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40"/>
        <w:spacing w:after="0" w:line="259" w:lineRule="auto"/>
        <w:rPr>
          <w:sz w:val="20"/>
          <w:szCs w:val="20"/>
          <w:color w:val="auto"/>
        </w:rPr>
      </w:pPr>
      <w:r>
        <w:rPr>
          <w:rFonts w:ascii="Arial" w:cs="Arial" w:eastAsia="Arial" w:hAnsi="Arial"/>
          <w:sz w:val="18"/>
          <w:szCs w:val="18"/>
          <w:color w:val="auto"/>
        </w:rPr>
        <w:t>Kingsoft Group currently intends to provide an assured entitlement with an aggregate of approximately 0.35% to 0.50% of the total issued shares of us upon completion of this offering. The Assured Entitlement Distribution will only be made if this offering is completed.</w:t>
      </w: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The distribution in specie of ADSs by Kingsoft Group are not part of this offering.</w:t>
      </w:r>
    </w:p>
    <w:p>
      <w:pPr>
        <w:sectPr>
          <w:pgSz w:w="11900" w:h="16838" w:orient="portrait"/>
          <w:cols w:equalWidth="0" w:num="1">
            <w:col w:w="10920"/>
          </w:cols>
          <w:pgMar w:left="320" w:top="459" w:right="659" w:bottom="1440" w:gutter="0" w:footer="0" w:header="0"/>
        </w:sect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Taxation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Cayman, PRC and U.S. federal income tax considerations with respect to the ownership and disposition of the ADSs, see “Taxation.”</w:t>
      </w:r>
    </w:p>
    <w:p>
      <w:pPr>
        <w:spacing w:after="0" w:line="19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See “Risk Factors” and other information included in this prospectus for discussions of the risks relating to investing in the ADSs. You should carefully consider these risks before deciding to invest in the ADSs.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Indication of Interests</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Kingsoft Group and Xiaomi, our existing shareholders, have indicated interest in purchasing up to US$25 million and US$50 million, respectively, of the ADSs being offered in this offering at the initial public offering price and on the same terms as the other ADSs being offered. Such indications of interests are not binding agreements or commitments to purchase, and we and the underwriters are currently under no obligations to sell any ADSs to Kingsoft Group or Xiaomi. See “Underwriting” for more information.</w:t>
      </w:r>
    </w:p>
    <w:p>
      <w:pPr>
        <w:spacing w:after="0" w:line="19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4340" w:right="80"/>
        <w:spacing w:after="0" w:line="293" w:lineRule="auto"/>
        <w:rPr>
          <w:sz w:val="20"/>
          <w:szCs w:val="20"/>
          <w:color w:val="auto"/>
        </w:rPr>
      </w:pPr>
      <w:r>
        <w:rPr>
          <w:rFonts w:ascii="Arial" w:cs="Arial" w:eastAsia="Arial" w:hAnsi="Arial"/>
          <w:sz w:val="16"/>
          <w:szCs w:val="16"/>
          <w:color w:val="auto"/>
        </w:rPr>
        <w:t>Carmignac Gestion and its affiliates have indicated interest in purchasing, in aggregate, up to US$50 million of the ADSs being offered in this offering, subject to certain limitations, at the initial public offering price and on the same terms as the other ADSs being offered. Such indications of interest are not binding agreements or commitments to purchase, and we and the underwriters are currently under no obligations to sell any ADSs to such investors. See “Underwriting” for more information.</w:t>
      </w:r>
    </w:p>
    <w:p>
      <w:pPr>
        <w:sectPr>
          <w:pgSz w:w="11900" w:h="16838" w:orient="portrait"/>
          <w:cols w:equalWidth="0" w:num="1">
            <w:col w:w="10920"/>
          </w:cols>
          <w:pgMar w:left="320" w:top="459" w:right="659" w:bottom="1440" w:gutter="0" w:footer="0" w:header="0"/>
          <w:type w:val="continuous"/>
        </w:sectPr>
      </w:pPr>
    </w:p>
    <w:p>
      <w:pPr>
        <w:spacing w:after="0" w:line="164"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Unless otherwise indicated, all information contained in this prospectus assumes no exercise of the option granted to the underwriters to purchase up to 3,750,000 additional ADSs, if any, in connection with the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27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OUR SUMMARY CONSOLIDATED FINANCIAL DATA AND OPERATING DATA</w:t>
      </w:r>
    </w:p>
    <w:p>
      <w:pPr>
        <w:spacing w:after="0" w:line="229"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The following summary consolidated statements of operations for the years ended December 31, 2017, 2018 and 2019, summary consolidated balance sheet data as of December 31, 2018 and 2019 and summary consolidated cash flow data for the years ended December 31, 2017, 2018 and 2019 have been derived from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4"/>
              </w:rPr>
              <w:t>For the Year Ended December 31,</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9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RMB</w:t>
            </w:r>
          </w:p>
        </w:tc>
        <w:tc>
          <w:tcPr>
            <w:tcW w:w="56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10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w:t>
            </w:r>
          </w:p>
        </w:tc>
        <w:tc>
          <w:tcPr>
            <w:tcW w:w="42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20" w:type="dxa"/>
            <w:vAlign w:val="bottom"/>
            <w:gridSpan w:val="11"/>
          </w:tcPr>
          <w:p>
            <w:pPr>
              <w:jc w:val="center"/>
              <w:ind w:right="500"/>
              <w:spacing w:after="0"/>
              <w:rPr>
                <w:sz w:val="20"/>
                <w:szCs w:val="20"/>
                <w:color w:val="auto"/>
              </w:rPr>
            </w:pPr>
            <w:r>
              <w:rPr>
                <w:rFonts w:ascii="Arial" w:cs="Arial" w:eastAsia="Arial" w:hAnsi="Arial"/>
                <w:sz w:val="14"/>
                <w:szCs w:val="14"/>
                <w:b w:val="1"/>
                <w:bCs w:val="1"/>
                <w:color w:val="auto"/>
                <w:w w:val="90"/>
              </w:rPr>
              <w:t>(in thousands, except for percentages, shares and per share data)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Consolidated Statements of Operation:</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Public cloud services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1,202,485</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97.3</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2,110,513</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3,458,843</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496,832</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ind w:left="280"/>
              <w:spacing w:after="0" w:line="149" w:lineRule="exact"/>
              <w:rPr>
                <w:sz w:val="20"/>
                <w:szCs w:val="20"/>
                <w:color w:val="auto"/>
              </w:rPr>
            </w:pPr>
            <w:r>
              <w:rPr>
                <w:rFonts w:ascii="Arial" w:cs="Arial" w:eastAsia="Arial" w:hAnsi="Arial"/>
                <w:sz w:val="14"/>
                <w:szCs w:val="14"/>
                <w:color w:val="auto"/>
              </w:rPr>
              <w:t>Enterprise cloud services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15,271</w:t>
            </w:r>
          </w:p>
        </w:tc>
        <w:tc>
          <w:tcPr>
            <w:tcW w:w="8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94,369</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486,308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69,854</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18,211</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13,290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1,235,967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2,218,172</w:t>
            </w:r>
          </w:p>
        </w:tc>
        <w:tc>
          <w:tcPr>
            <w:tcW w:w="1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3,956,353</w:t>
            </w:r>
          </w:p>
        </w:tc>
        <w:tc>
          <w:tcPr>
            <w:tcW w:w="2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568,295</w:t>
            </w:r>
          </w:p>
        </w:tc>
        <w:tc>
          <w:tcPr>
            <w:tcW w:w="2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(1,354,153)</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(109.6)</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(2,418,562)</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(109.0)</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(3,948,644)</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(567,187)</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(99.8)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(loss)/profit</w:t>
            </w:r>
          </w:p>
        </w:tc>
        <w:tc>
          <w:tcPr>
            <w:tcW w:w="8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(118,186)</w:t>
            </w: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(9.6)</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(200,390)</w:t>
            </w:r>
          </w:p>
        </w:tc>
        <w:tc>
          <w:tcPr>
            <w:tcW w:w="180" w:type="dxa"/>
            <w:vAlign w:val="bottom"/>
            <w:vMerge w:val="continue"/>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(9.0)</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7,709</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1,108</w:t>
            </w:r>
          </w:p>
        </w:tc>
        <w:tc>
          <w:tcPr>
            <w:tcW w:w="2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(115,861)</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(191,671)</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(317,426)</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(45,595)</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(93,649)</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(146,846)</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(238,648)</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(34,280)</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(399,209)</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(32.3)</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(440,518)</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(595,169)</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(85,491)</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(608,719)</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(49.3)</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(779,035)</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(35.1)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(1,151,243)</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(165,366)</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(29.1)</w:t>
            </w: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Operating loss</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(726,905)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(58.8)</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(979,425)</w:t>
            </w:r>
          </w:p>
        </w:tc>
        <w:tc>
          <w:tcPr>
            <w:tcW w:w="1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(44.2)</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(1,143,534)</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(164,258)</w:t>
            </w:r>
          </w:p>
        </w:tc>
        <w:tc>
          <w:tcPr>
            <w:tcW w:w="20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19,628</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116,500</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78,612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11,292</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(36,410)</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(38,826)</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(4,925)</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(707)</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gain/(loss)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25,863</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(102,202)</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(38,961)</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(5,596)</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Changes in fair value of financial instruments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3,016</w:t>
            </w:r>
          </w:p>
        </w:tc>
        <w:tc>
          <w:tcPr>
            <w:tcW w:w="8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6,404</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6,612</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(713,582)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(57.7)</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(996,810)</w:t>
            </w:r>
          </w:p>
        </w:tc>
        <w:tc>
          <w:tcPr>
            <w:tcW w:w="1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(44.9)</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(1,102,196)</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(158,319)</w:t>
            </w:r>
          </w:p>
        </w:tc>
        <w:tc>
          <w:tcPr>
            <w:tcW w:w="20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(668)</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(9,632)</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(9,003)</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(1,293)</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(714,250)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(57.8)</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(1,006,442)</w:t>
            </w:r>
          </w:p>
        </w:tc>
        <w:tc>
          <w:tcPr>
            <w:tcW w:w="1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(45.3)</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(1,111,199)</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(159,612)</w:t>
            </w:r>
          </w:p>
        </w:tc>
        <w:tc>
          <w:tcPr>
            <w:tcW w:w="20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to redemption value of redeemable convertible preferred shares</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(605,515)</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(742,472)</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(33.5)</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(49,725)</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(7,143)</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5"/>
        </w:trPr>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loss attributable to ordinary shareholders</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(1,319,765)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(106.8)</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(1,748,914)</w:t>
            </w:r>
          </w:p>
        </w:tc>
        <w:tc>
          <w:tcPr>
            <w:tcW w:w="1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(78.8)</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(1,160,924)</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(166,755)</w:t>
            </w:r>
          </w:p>
        </w:tc>
        <w:tc>
          <w:tcPr>
            <w:tcW w:w="20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earnings per share:</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(0.19)</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Shares used in the net loss per share computation:</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793,430,000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793,430,000</w:t>
            </w:r>
          </w:p>
        </w:tc>
        <w:tc>
          <w:tcPr>
            <w:tcW w:w="1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889,521,200</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889,521,200</w:t>
            </w:r>
          </w:p>
        </w:tc>
        <w:tc>
          <w:tcPr>
            <w:tcW w:w="20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comprehensive income/(loss), net of tax of nil:</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(89,414)</w:t>
            </w:r>
          </w:p>
        </w:tc>
        <w:tc>
          <w:tcPr>
            <w:tcW w:w="10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401,820</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64,598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9,279</w:t>
            </w:r>
          </w:p>
        </w:tc>
        <w:tc>
          <w:tcPr>
            <w:tcW w:w="20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(803,664)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(604,622)</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(1,046,601)</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(150,333)</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Accretion to redemption value of redeemable convertible preferred shares</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(605,515)</w:t>
            </w:r>
          </w:p>
        </w:tc>
        <w:tc>
          <w:tcPr>
            <w:tcW w:w="10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(742,472)</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(49,725)</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(7,143)</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loss attributable to ordinary shareholders</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(1,409,179)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(1,347,094)</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(1,096,326)</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(157,476)</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590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45904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720" w:hanging="422"/>
        <w:spacing w:after="0"/>
        <w:tabs>
          <w:tab w:leader="none" w:pos="7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Share-based compensation expense was allocated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Cost of revenues</w:t>
      </w:r>
    </w:p>
    <w:p>
      <w:pPr>
        <w:ind w:left="300"/>
        <w:spacing w:after="0" w:line="221" w:lineRule="auto"/>
        <w:rPr>
          <w:sz w:val="20"/>
          <w:szCs w:val="20"/>
          <w:color w:val="auto"/>
        </w:rPr>
      </w:pPr>
      <w:r>
        <w:rPr>
          <w:rFonts w:ascii="Arial" w:cs="Arial" w:eastAsia="Arial" w:hAnsi="Arial"/>
          <w:sz w:val="14"/>
          <w:szCs w:val="14"/>
          <w:color w:val="auto"/>
        </w:rPr>
        <w:t>Selling and marketing expenses</w:t>
      </w:r>
    </w:p>
    <w:p>
      <w:pPr>
        <w:ind w:left="300"/>
        <w:spacing w:after="0" w:line="221" w:lineRule="auto"/>
        <w:rPr>
          <w:sz w:val="20"/>
          <w:szCs w:val="20"/>
          <w:color w:val="auto"/>
        </w:rPr>
      </w:pPr>
      <w:r>
        <w:rPr>
          <w:rFonts w:ascii="Arial" w:cs="Arial" w:eastAsia="Arial" w:hAnsi="Arial"/>
          <w:sz w:val="14"/>
          <w:szCs w:val="14"/>
          <w:color w:val="auto"/>
        </w:rPr>
        <w:t>General and administrative expenses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Research and development expenses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r>
      <w:tr>
        <w:trPr>
          <w:trHeight w:val="123"/>
        </w:trPr>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5"/>
          </w:tcPr>
          <w:p>
            <w:pPr>
              <w:jc w:val="right"/>
              <w:ind w:right="380"/>
              <w:spacing w:after="0" w:line="123"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6,551</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3,565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8,509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1,222</w:t>
            </w:r>
          </w:p>
        </w:tc>
      </w:tr>
      <w:tr>
        <w:trPr>
          <w:trHeight w:val="148"/>
        </w:trPr>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12,618</w:t>
            </w: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5,889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5,431</w:t>
            </w:r>
          </w:p>
        </w:tc>
      </w:tr>
      <w:tr>
        <w:trPr>
          <w:trHeight w:val="182"/>
        </w:trPr>
        <w:tc>
          <w:tcPr>
            <w:tcW w:w="500" w:type="dxa"/>
            <w:vAlign w:val="bottom"/>
          </w:tcPr>
          <w:p>
            <w:pPr>
              <w:jc w:val="right"/>
              <w:spacing w:after="0"/>
              <w:rPr>
                <w:sz w:val="20"/>
                <w:szCs w:val="20"/>
                <w:color w:val="auto"/>
              </w:rPr>
            </w:pPr>
            <w:r>
              <w:rPr>
                <w:rFonts w:ascii="Arial" w:cs="Arial" w:eastAsia="Arial" w:hAnsi="Arial"/>
                <w:sz w:val="14"/>
                <w:szCs w:val="14"/>
                <w:color w:val="auto"/>
              </w:rPr>
              <w:t>25,741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11,167</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31,988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4,595</w:t>
            </w:r>
          </w:p>
        </w:tc>
      </w:tr>
      <w:tr>
        <w:trPr>
          <w:trHeight w:val="20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46,099</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26,320</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42,974</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6,173</w:t>
            </w:r>
          </w:p>
        </w:tc>
        <w:tc>
          <w:tcPr>
            <w:tcW w:w="20" w:type="dxa"/>
            <w:vAlign w:val="bottom"/>
          </w:tcPr>
          <w:p>
            <w:pPr>
              <w:spacing w:after="0"/>
              <w:rPr>
                <w:sz w:val="17"/>
                <w:szCs w:val="17"/>
                <w:color w:val="auto"/>
              </w:rPr>
            </w:pPr>
          </w:p>
        </w:tc>
      </w:tr>
      <w:tr>
        <w:trPr>
          <w:trHeight w:val="223"/>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91,009</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46,941</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121,279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17,421</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720"/>
            <w:col w:w="2760"/>
          </w:cols>
          <w:pgMar w:left="320" w:top="459" w:right="439" w:bottom="1440" w:gutter="0" w:footer="0" w:header="0"/>
          <w:type w:val="continuous"/>
        </w:sectPr>
      </w:pP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our summary consolidated balance sheet data as of December 31, 2018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RMB</w:t>
            </w:r>
          </w:p>
        </w:tc>
        <w:tc>
          <w:tcPr>
            <w:tcW w:w="15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1,507,071</w:t>
            </w:r>
          </w:p>
        </w:tc>
        <w:tc>
          <w:tcPr>
            <w:tcW w:w="380" w:type="dxa"/>
            <w:vAlign w:val="bottom"/>
          </w:tcPr>
          <w:p>
            <w:pPr>
              <w:spacing w:after="0"/>
              <w:rPr>
                <w:sz w:val="18"/>
                <w:szCs w:val="18"/>
                <w:color w:val="auto"/>
              </w:rPr>
            </w:pP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2,023,263</w:t>
            </w:r>
          </w:p>
        </w:tc>
        <w:tc>
          <w:tcPr>
            <w:tcW w:w="1540" w:type="dxa"/>
            <w:vAlign w:val="bottom"/>
          </w:tcPr>
          <w:p>
            <w:pPr>
              <w:jc w:val="right"/>
              <w:spacing w:after="0"/>
              <w:rPr>
                <w:sz w:val="20"/>
                <w:szCs w:val="20"/>
                <w:color w:val="auto"/>
              </w:rPr>
            </w:pPr>
            <w:r>
              <w:rPr>
                <w:rFonts w:ascii="Arial" w:cs="Arial" w:eastAsia="Arial" w:hAnsi="Arial"/>
                <w:sz w:val="18"/>
                <w:szCs w:val="18"/>
                <w:color w:val="auto"/>
              </w:rPr>
              <w:t>290,624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541,584</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1,347,481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193,554</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2,208,105</w:t>
            </w:r>
          </w:p>
        </w:tc>
        <w:tc>
          <w:tcPr>
            <w:tcW w:w="380" w:type="dxa"/>
            <w:vAlign w:val="bottom"/>
          </w:tcPr>
          <w:p>
            <w:pPr>
              <w:spacing w:after="0"/>
              <w:rPr>
                <w:sz w:val="18"/>
                <w:szCs w:val="18"/>
                <w:color w:val="auto"/>
              </w:rPr>
            </w:pP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225,425</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32,380</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4,734,409</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4,149,739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596,074</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1,043,155</w:t>
            </w:r>
          </w:p>
        </w:tc>
        <w:tc>
          <w:tcPr>
            <w:tcW w:w="380" w:type="dxa"/>
            <w:vAlign w:val="bottom"/>
          </w:tcPr>
          <w:p>
            <w:pPr>
              <w:spacing w:after="0"/>
              <w:rPr>
                <w:sz w:val="18"/>
                <w:szCs w:val="18"/>
                <w:color w:val="auto"/>
              </w:rPr>
            </w:pP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1,720,974</w:t>
            </w:r>
          </w:p>
        </w:tc>
        <w:tc>
          <w:tcPr>
            <w:tcW w:w="1540" w:type="dxa"/>
            <w:vAlign w:val="bottom"/>
          </w:tcPr>
          <w:p>
            <w:pPr>
              <w:jc w:val="right"/>
              <w:spacing w:after="0"/>
              <w:rPr>
                <w:sz w:val="20"/>
                <w:szCs w:val="20"/>
                <w:color w:val="auto"/>
              </w:rPr>
            </w:pPr>
            <w:r>
              <w:rPr>
                <w:rFonts w:ascii="Arial" w:cs="Arial" w:eastAsia="Arial" w:hAnsi="Arial"/>
                <w:sz w:val="18"/>
                <w:szCs w:val="18"/>
                <w:color w:val="auto"/>
              </w:rPr>
              <w:t>247,202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5,859,199</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6,031,821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866,418</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Accounts payable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720,805</w:t>
            </w:r>
          </w:p>
        </w:tc>
        <w:tc>
          <w:tcPr>
            <w:tcW w:w="380" w:type="dxa"/>
            <w:vAlign w:val="bottom"/>
          </w:tcPr>
          <w:p>
            <w:pPr>
              <w:spacing w:after="0"/>
              <w:rPr>
                <w:sz w:val="18"/>
                <w:szCs w:val="18"/>
                <w:color w:val="auto"/>
              </w:rPr>
            </w:pP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1,254,589</w:t>
            </w:r>
          </w:p>
        </w:tc>
        <w:tc>
          <w:tcPr>
            <w:tcW w:w="1540" w:type="dxa"/>
            <w:vAlign w:val="bottom"/>
          </w:tcPr>
          <w:p>
            <w:pPr>
              <w:jc w:val="right"/>
              <w:spacing w:after="0"/>
              <w:rPr>
                <w:sz w:val="20"/>
                <w:szCs w:val="20"/>
                <w:color w:val="auto"/>
              </w:rPr>
            </w:pPr>
            <w:r>
              <w:rPr>
                <w:rFonts w:ascii="Arial" w:cs="Arial" w:eastAsia="Arial" w:hAnsi="Arial"/>
                <w:sz w:val="18"/>
                <w:szCs w:val="18"/>
                <w:color w:val="auto"/>
              </w:rPr>
              <w:t>180,210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423,634</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949,213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136,346</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1,436,887</w:t>
            </w:r>
          </w:p>
        </w:tc>
        <w:tc>
          <w:tcPr>
            <w:tcW w:w="380" w:type="dxa"/>
            <w:vAlign w:val="bottom"/>
          </w:tcPr>
          <w:p>
            <w:pPr>
              <w:spacing w:after="0"/>
              <w:rPr>
                <w:sz w:val="18"/>
                <w:szCs w:val="18"/>
                <w:color w:val="auto"/>
              </w:rPr>
            </w:pPr>
          </w:p>
        </w:tc>
        <w:tc>
          <w:tcPr>
            <w:tcW w:w="16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2,419,991</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347,610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1,756,622</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2,494,548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358,320</w:t>
            </w:r>
          </w:p>
        </w:tc>
        <w:tc>
          <w:tcPr>
            <w:tcW w:w="14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7,345,688</w:t>
            </w:r>
          </w:p>
        </w:tc>
        <w:tc>
          <w:tcPr>
            <w:tcW w:w="380" w:type="dxa"/>
            <w:vAlign w:val="bottom"/>
          </w:tcPr>
          <w:p>
            <w:pPr>
              <w:spacing w:after="0"/>
              <w:rPr>
                <w:sz w:val="18"/>
                <w:szCs w:val="18"/>
                <w:color w:val="auto"/>
              </w:rPr>
            </w:pPr>
          </w:p>
        </w:tc>
        <w:tc>
          <w:tcPr>
            <w:tcW w:w="16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7,734,532</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1,110,997</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2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(3,243,111)</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(4,197,259)</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(602,899)</w:t>
            </w:r>
          </w:p>
        </w:tc>
        <w:tc>
          <w:tcPr>
            <w:tcW w:w="2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w w:val="96"/>
              </w:rPr>
              <w:t>Total liabilities, mezzanine equity and shareholders’ deficit</w:t>
            </w: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5,859,199</w:t>
            </w:r>
          </w:p>
        </w:tc>
        <w:tc>
          <w:tcPr>
            <w:tcW w:w="380" w:type="dxa"/>
            <w:vAlign w:val="bottom"/>
          </w:tcPr>
          <w:p>
            <w:pPr>
              <w:spacing w:after="0"/>
              <w:rPr>
                <w:sz w:val="20"/>
                <w:szCs w:val="20"/>
                <w:color w:val="auto"/>
              </w:rPr>
            </w:pPr>
          </w:p>
        </w:tc>
        <w:tc>
          <w:tcPr>
            <w:tcW w:w="160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6,031,821</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866,418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1"/>
        </w:trPr>
        <w:tc>
          <w:tcPr>
            <w:tcW w:w="18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604"/>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27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0272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our summary consolidated cash flow data for the years ended December 31, 2017, 2018 and 2019.</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3"/>
              </w:rPr>
              <w:t>For the Year Ended 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06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4"/>
          </w:tcPr>
          <w:p>
            <w:pPr>
              <w:jc w:val="right"/>
              <w:ind w:right="86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(134,527)</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(383,110)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(439,132)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(63,074)</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(1,820,636)</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(1,173,559)</w:t>
            </w:r>
          </w:p>
        </w:tc>
        <w:tc>
          <w:tcPr>
            <w:tcW w:w="860" w:type="dxa"/>
            <w:vAlign w:val="bottom"/>
          </w:tcPr>
          <w:p>
            <w:pPr>
              <w:jc w:val="right"/>
              <w:spacing w:after="0"/>
              <w:rPr>
                <w:sz w:val="20"/>
                <w:szCs w:val="20"/>
                <w:color w:val="auto"/>
              </w:rPr>
            </w:pPr>
            <w:r>
              <w:rPr>
                <w:rFonts w:ascii="Arial" w:cs="Arial" w:eastAsia="Arial" w:hAnsi="Arial"/>
                <w:sz w:val="18"/>
                <w:szCs w:val="18"/>
                <w:color w:val="auto"/>
              </w:rPr>
              <w:t>883,247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126,870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1,861,177</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2,435,832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40" w:type="dxa"/>
            <w:vAlign w:val="bottom"/>
            <w:shd w:val="clear" w:color="auto" w:fill="CCEEFF"/>
          </w:tcPr>
          <w:p>
            <w:pPr>
              <w:spacing w:after="0"/>
              <w:rPr>
                <w:sz w:val="18"/>
                <w:szCs w:val="18"/>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Net (decrease)/increase in cash and cash equivalents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(93,986)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879,163</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508,622</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706,012</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216,477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(38,589)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54,471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2,023,263</w:t>
            </w: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290,624</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In evaluating our business, we consider and use certain non-GAAP measures, adjusted gross (loss)/profit, adjusted gross margin, adjusted EBITDA and adjusted EDITDA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define adjusted gross (loss)/profit as gross (loss)/profit excluding share-based compensation allocated in the cost of revenues, and we define adjusted gross margin as adjusted (loss)/profit as a percentage of revenues. We define adjusted net loss as net loss excluding share-based compensation, foreign exchange (gain)/loss, changes in fair value of financial instruments and other (income)/expense, net. We define adjusted EBITDA as adjusted net loss excluding interest income, interest expense, income tax expense and depreciation and amortization, and we define adjusted EBITDA margin as adjusted EBITDA as a percentage of revenues.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168" w:lineRule="exact"/>
        <w:rPr>
          <w:sz w:val="20"/>
          <w:szCs w:val="20"/>
          <w:color w:val="auto"/>
        </w:rPr>
      </w:pPr>
    </w:p>
    <w:p>
      <w:pPr>
        <w:ind w:left="300" w:right="160" w:firstLine="426"/>
        <w:spacing w:after="0" w:line="279" w:lineRule="auto"/>
        <w:rPr>
          <w:sz w:val="20"/>
          <w:szCs w:val="20"/>
          <w:color w:val="auto"/>
        </w:rPr>
      </w:pPr>
      <w:r>
        <w:rPr>
          <w:rFonts w:ascii="Arial" w:cs="Arial" w:eastAsia="Arial" w:hAnsi="Arial"/>
          <w:sz w:val="17"/>
          <w:szCs w:val="17"/>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71"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0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firstLine="426"/>
        <w:spacing w:after="0" w:line="342" w:lineRule="auto"/>
        <w:rPr>
          <w:sz w:val="20"/>
          <w:szCs w:val="20"/>
          <w:color w:val="auto"/>
        </w:rPr>
      </w:pPr>
      <w:r>
        <w:rPr>
          <w:rFonts w:ascii="Arial" w:cs="Arial" w:eastAsia="Arial" w:hAnsi="Arial"/>
          <w:sz w:val="16"/>
          <w:szCs w:val="16"/>
          <w:color w:val="auto"/>
        </w:rPr>
        <w:t>The following tables reconcile our adjusted gross (loss)/profit, adjusted net loss and adjusted EBITDA in 2017, 2018 and 2019 to the most directly comparable financial measure calculated and presented in accordance with U.S. GAAP, which are gross (loss)/profit and net loss: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tcBorders>
              <w:bottom w:val="single" w:sz="8" w:color="auto"/>
            </w:tcBorders>
            <w:gridSpan w:val="7"/>
          </w:tcPr>
          <w:p>
            <w:pPr>
              <w:jc w:val="center"/>
              <w:ind w:left="364"/>
              <w:spacing w:after="0"/>
              <w:rPr>
                <w:sz w:val="20"/>
                <w:szCs w:val="20"/>
                <w:color w:val="auto"/>
              </w:rPr>
            </w:pPr>
            <w:r>
              <w:rPr>
                <w:rFonts w:ascii="Arial" w:cs="Arial" w:eastAsia="Arial" w:hAnsi="Arial"/>
                <w:sz w:val="14"/>
                <w:szCs w:val="14"/>
                <w:b w:val="1"/>
                <w:bCs w:val="1"/>
                <w:color w:val="auto"/>
                <w:w w:val="93"/>
              </w:rPr>
              <w:t>For the Year Ended December 31,</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8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3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(118,186)</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(200,390)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1,108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(allocated in cost of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Adjusted gross (loss)/profit</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(111,635)</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(196,825</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16,218</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2,330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7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For the Year Ended December 31,</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524"/>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92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b w:val="1"/>
                <w:bCs w:val="1"/>
                <w:color w:val="auto"/>
              </w:rPr>
              <w:t>(9.6)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59"/>
              <w:spacing w:after="0"/>
              <w:rPr>
                <w:sz w:val="20"/>
                <w:szCs w:val="20"/>
                <w:color w:val="auto"/>
              </w:rPr>
            </w:pPr>
            <w:r>
              <w:rPr>
                <w:rFonts w:ascii="Arial" w:cs="Arial" w:eastAsia="Arial" w:hAnsi="Arial"/>
                <w:sz w:val="18"/>
                <w:szCs w:val="18"/>
                <w:b w:val="1"/>
                <w:bCs w:val="1"/>
                <w:color w:val="auto"/>
                <w:w w:val="97"/>
              </w:rPr>
              <w:t>(9.0)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40" w:type="dxa"/>
            <w:vAlign w:val="bottom"/>
            <w:shd w:val="clear" w:color="auto" w:fill="CCEEFF"/>
          </w:tcPr>
          <w:p>
            <w:pPr>
              <w:spacing w:after="0"/>
              <w:rPr>
                <w:sz w:val="18"/>
                <w:szCs w:val="18"/>
                <w:color w:val="auto"/>
              </w:rPr>
            </w:pPr>
          </w:p>
        </w:tc>
      </w:tr>
      <w:tr>
        <w:trPr>
          <w:trHeight w:val="234"/>
        </w:trPr>
        <w:tc>
          <w:tcPr>
            <w:tcW w:w="726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920" w:type="dxa"/>
            <w:vAlign w:val="bottom"/>
            <w:gridSpan w:val="2"/>
          </w:tcPr>
          <w:p>
            <w:pPr>
              <w:jc w:val="right"/>
              <w:ind w:right="424"/>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20"/>
                <w:szCs w:val="20"/>
                <w:color w:val="auto"/>
              </w:rPr>
            </w:pPr>
          </w:p>
        </w:tc>
        <w:tc>
          <w:tcPr>
            <w:tcW w:w="940" w:type="dxa"/>
            <w:vAlign w:val="bottom"/>
            <w:gridSpan w:val="2"/>
          </w:tcPr>
          <w:p>
            <w:pPr>
              <w:jc w:val="center"/>
              <w:ind w:left="259"/>
              <w:spacing w:after="0"/>
              <w:rPr>
                <w:sz w:val="20"/>
                <w:szCs w:val="20"/>
                <w:color w:val="auto"/>
              </w:rPr>
            </w:pPr>
            <w:r>
              <w:rPr>
                <w:rFonts w:ascii="Arial" w:cs="Arial" w:eastAsia="Arial" w:hAnsi="Arial"/>
                <w:sz w:val="18"/>
                <w:szCs w:val="18"/>
                <w:b w:val="1"/>
                <w:bCs w:val="1"/>
                <w:color w:val="auto"/>
                <w:w w:val="97"/>
              </w:rPr>
              <w:t>(8.9)</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0.4</w:t>
            </w:r>
          </w:p>
        </w:tc>
        <w:tc>
          <w:tcPr>
            <w:tcW w:w="40" w:type="dxa"/>
            <w:vAlign w:val="bottom"/>
          </w:tcPr>
          <w:p>
            <w:pPr>
              <w:spacing w:after="0"/>
              <w:rPr>
                <w:sz w:val="20"/>
                <w:szCs w:val="20"/>
                <w:color w:val="auto"/>
              </w:rPr>
            </w:pPr>
          </w:p>
        </w:tc>
      </w:tr>
    </w:tbl>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3"/>
              </w:rPr>
              <w:t>For the Year Ended December 31,</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4"/>
          </w:tcPr>
          <w:p>
            <w:pPr>
              <w:jc w:val="right"/>
              <w:ind w:right="110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(714,250)</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(1,006,442)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(1,111,199)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Adjustment:</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w:t>
            </w:r>
          </w:p>
        </w:tc>
        <w:tc>
          <w:tcPr>
            <w:tcW w:w="4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46,941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Foreign exchange (gain)/loss</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(25,863)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102,202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38,961</w:t>
            </w:r>
          </w:p>
        </w:tc>
        <w:tc>
          <w:tcPr>
            <w:tcW w:w="440" w:type="dxa"/>
            <w:vAlign w:val="bottom"/>
          </w:tcPr>
          <w:p>
            <w:pPr>
              <w:spacing w:after="0"/>
              <w:rPr>
                <w:sz w:val="18"/>
                <w:szCs w:val="18"/>
                <w:color w:val="auto"/>
              </w:rPr>
            </w:pPr>
          </w:p>
        </w:tc>
        <w:tc>
          <w:tcPr>
            <w:tcW w:w="780" w:type="dxa"/>
            <w:vAlign w:val="bottom"/>
          </w:tcPr>
          <w:p>
            <w:pPr>
              <w:jc w:val="center"/>
              <w:ind w:left="292"/>
              <w:spacing w:after="0"/>
              <w:rPr>
                <w:sz w:val="20"/>
                <w:szCs w:val="20"/>
                <w:color w:val="auto"/>
              </w:rPr>
            </w:pPr>
            <w:r>
              <w:rPr>
                <w:rFonts w:ascii="Arial" w:cs="Arial" w:eastAsia="Arial" w:hAnsi="Arial"/>
                <w:sz w:val="18"/>
                <w:szCs w:val="18"/>
                <w:color w:val="auto"/>
                <w:w w:val="88"/>
              </w:rPr>
              <w:t>5,596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financial instruments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(3,016)</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(6,404)</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Other (income)/expense, net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(1,226)</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(739)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(6,612)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(653,346)</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(864,442)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(957,571)</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(137,545)</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(19,628)</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(116,500)</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(78,612)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760" w:type="dxa"/>
            <w:vAlign w:val="bottom"/>
          </w:tcPr>
          <w:p>
            <w:pPr>
              <w:jc w:val="right"/>
              <w:spacing w:after="0"/>
              <w:rPr>
                <w:sz w:val="20"/>
                <w:szCs w:val="20"/>
                <w:color w:val="auto"/>
              </w:rPr>
            </w:pPr>
            <w:r>
              <w:rPr>
                <w:rFonts w:ascii="Arial" w:cs="Arial" w:eastAsia="Arial" w:hAnsi="Arial"/>
                <w:sz w:val="18"/>
                <w:szCs w:val="18"/>
                <w:color w:val="auto"/>
              </w:rPr>
              <w:t>36,410</w:t>
            </w:r>
          </w:p>
        </w:tc>
        <w:tc>
          <w:tcPr>
            <w:tcW w:w="42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38,826</w:t>
            </w:r>
          </w:p>
        </w:tc>
        <w:tc>
          <w:tcPr>
            <w:tcW w:w="920" w:type="dxa"/>
            <w:vAlign w:val="bottom"/>
          </w:tcPr>
          <w:p>
            <w:pPr>
              <w:jc w:val="right"/>
              <w:spacing w:after="0"/>
              <w:rPr>
                <w:sz w:val="20"/>
                <w:szCs w:val="20"/>
                <w:color w:val="auto"/>
              </w:rPr>
            </w:pPr>
            <w:r>
              <w:rPr>
                <w:rFonts w:ascii="Arial" w:cs="Arial" w:eastAsia="Arial" w:hAnsi="Arial"/>
                <w:sz w:val="18"/>
                <w:szCs w:val="18"/>
                <w:color w:val="auto"/>
              </w:rPr>
              <w:t>4,925</w:t>
            </w:r>
          </w:p>
        </w:tc>
        <w:tc>
          <w:tcPr>
            <w:tcW w:w="4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8"/>
              </w:rPr>
              <w:t>1,293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jc w:val="right"/>
              <w:spacing w:after="0"/>
              <w:rPr>
                <w:sz w:val="20"/>
                <w:szCs w:val="20"/>
                <w:color w:val="auto"/>
              </w:rPr>
            </w:pPr>
            <w:r>
              <w:rPr>
                <w:rFonts w:ascii="Arial" w:cs="Arial" w:eastAsia="Arial" w:hAnsi="Arial"/>
                <w:sz w:val="18"/>
                <w:szCs w:val="18"/>
                <w:color w:val="auto"/>
              </w:rPr>
              <w:t>297,647</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412,352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604,581</w:t>
            </w:r>
          </w:p>
        </w:tc>
        <w:tc>
          <w:tcPr>
            <w:tcW w:w="4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(338,249)</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(520,132)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(417,674)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left="312"/>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margin</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(57.8)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(45.4)</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Adjusted net loss margin</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(52.9)</w:t>
            </w:r>
          </w:p>
        </w:tc>
        <w:tc>
          <w:tcPr>
            <w:tcW w:w="420" w:type="dxa"/>
            <w:vAlign w:val="bottom"/>
          </w:tcPr>
          <w:p>
            <w:pPr>
              <w:spacing w:after="0"/>
              <w:rPr>
                <w:sz w:val="18"/>
                <w:szCs w:val="18"/>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b w:val="1"/>
                <w:bCs w:val="1"/>
                <w:color w:val="auto"/>
              </w:rPr>
              <w:t>(39.0)</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(27.4)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(23.4)</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Our total revenues generated from Premium Customers amounted to RMB1,158.5 million, RMB2,114.2 million and RMB3,853.3 million (US$553.5 million) in 2017, 2018 and 2019, respectively, accounting for 93.7%, 95.3% and 97.4% of our total revenues in the same periods, respectively. Specifically, our total revenues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642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3364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generated from Public Cloud Service Premium Customers amounted to RMB1,144.4 million, RMB2,021.3 million and RMB3,358.5 million</w:t>
      </w:r>
    </w:p>
    <w:p>
      <w:pPr>
        <w:spacing w:after="0" w:line="35"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(US$482.4 million) in 2017, 2018, and 2019, respectively, accounting for 95.2%, 95.8% and 97.1% of our total public cloud service revenues in the same periods, respectively. Our total revenues generated from Enterprise Cloud Service Premium Customers amounted to RMB14.1 million, RMB92.9 million and RMB481.0 million (US$69.1 million) in 2017, 2018 and 2019, respectively, accounting for 92.7%, 98.4% and 98.9% of our total enterprise cloud service revenues in the same periods, respectively.</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our key operating data for the periods indicated.</w:t>
      </w:r>
    </w:p>
    <w:p>
      <w:pPr>
        <w:spacing w:after="0" w:line="244"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For the Year Ended</w:t>
      </w:r>
    </w:p>
    <w:p>
      <w:pPr>
        <w:jc w:val="center"/>
        <w:ind w:left="86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88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Public Cloud Services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Number of Public Cloud Service Premium Customers</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38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dollar retention rate of Public Cloud Service Premium Customers</w:t>
            </w:r>
            <w:r>
              <w:rPr>
                <w:rFonts w:ascii="Arial" w:cs="Arial" w:eastAsia="Arial" w:hAnsi="Arial"/>
                <w:sz w:val="15"/>
                <w:szCs w:val="15"/>
                <w:color w:val="auto"/>
              </w:rPr>
              <w:t>(1)</w:t>
            </w: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Enterprise Cloud Services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Enterprise Cloud Service Premium Customers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Premium Customers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r>
      <w:tr>
        <w:trPr>
          <w:trHeight w:val="230"/>
        </w:trPr>
        <w:tc>
          <w:tcPr>
            <w:tcW w:w="8860" w:type="dxa"/>
            <w:vAlign w:val="bottom"/>
          </w:tcPr>
          <w:p>
            <w:pPr>
              <w:ind w:left="360"/>
              <w:spacing w:after="0"/>
              <w:rPr>
                <w:sz w:val="20"/>
                <w:szCs w:val="20"/>
                <w:color w:val="auto"/>
              </w:rPr>
            </w:pPr>
            <w:r>
              <w:rPr>
                <w:rFonts w:ascii="Arial" w:cs="Arial" w:eastAsia="Arial" w:hAnsi="Arial"/>
                <w:sz w:val="18"/>
                <w:szCs w:val="18"/>
                <w:color w:val="auto"/>
              </w:rPr>
              <w:t>Average revenues per Premium Customer (RMB in million)</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r>
    </w:tbl>
    <w:p>
      <w:pPr>
        <w:spacing w:after="0" w:line="15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720" w:right="100" w:hanging="422"/>
        <w:spacing w:after="0" w:line="238"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dollar retention rate of Public Cloud Service Premium Customers is calculated by dividing the revenues from our Public Cloud Service Premium Customers, who were also our Public Cloud Service Premium Customers in the previous year, in the indicated period by the revenues from all of our Public Cloud Service Premium Customers in the previous corresponding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You should consider carefully all of the information in this prospectus, including the risks and uncertainties described below and our consolidated financial statements and related notes, before making an investment in the ADSs. Any of the following risks and uncertainties could have a material adverse effect on our business, financial condition and results of operations. The market price of the ADSs could decline significantly as a result of any of these risks and uncertainties, and you may lose all or part of your investment. When determining whether to invest, you should also refer to the other information contained in this prospectus, including our financial statements and the related notes thereto. You should also carefully review the cautionary statements referred to under “Forward-looking Statements.” Our actual results could differ materially and adversely from those anticipated in this 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but if we fail to effectively manage our growth, then our business, results of operations and financial condition could be adversely affected.</w:t>
      </w:r>
    </w:p>
    <w:p>
      <w:pPr>
        <w:spacing w:after="0" w:line="62"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have experienced substantial growth in our business since inception. Our total revenues have increased from RMB1,236.0 million in 2017 to RMB2,218.2 million in 2018, and further increased to RMB3,956.4 million (US$568.3 million) in 2019. This growth has placed and may continue to place significant demands on our managerial, administrative, operational, financial and other resources. Furthermore, we intend to grow by expanding our business, increasing market penetration of our existing solutions and products and developing new ones. To manage this growth, we must develop and improve our existing administrative and operational systems, our financial and management controls, and further expand, train and manage our work force. In addition, the expansion of our systems and infrastructure will require us to commit substantial financial, operational and management resources before our revenues increase and without any assurances that our revenues will increase. Moreover, continued growth could strain our ability to maintain reliable service levels for our customers. If we fail to achieve the necessary level of efficiency as we grow, our growth rate may decline and investors’ perceptions of our business and prospects may be adversely affected and the market price of the ADSs could decline.</w:t>
      </w:r>
    </w:p>
    <w:p>
      <w:pPr>
        <w:spacing w:after="0" w:line="166"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Moreover, our limited operating history may not be indicative of our future growth or financial results. There is no assurance that we will be able to maintain our historical growth rates in future periods. We began operations in 2012 and much of our growth has occurred in recent years. As a result, our business model has not been fully proven, which subjects us to a number of uncertainties, including our ability to continue our growth.</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 and we are uncertain about our future profitability.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incurred net loss of RMB714.3 million, RMB1,006.4 million and RMB1,111.2 million (US$159.6 million) in 2017, 2018 and 2019, respectively. We cannot assure you that we will be able to generate net profits in the future. Our net loss has resulted primarily from our cost of revenues and investments made to grow our business, such as, in research and development efforts. We expect our costs and expenses to increase in absolute amounts as we continue to grow our business. Moreover, we intend to continue to invest heavily in the foreseeable future in expanding our infrastructure, improving our technologies, hiring qualified research and development personnel and offering additional solutions and products, which is expected to cause our cost of revenues and research and development expenses to increase continuously and rapidly. We also plan to invest heavily in sales, marketing and branding efforts. Moreover, as we become a public company upon the completion of this offering, we may incur significantly more expenses for legal, accounting, and other administrative and compliance affairs. These efforts may be more costly than we expect and our revenues may not increase sufficiently to offset the expenses, which may result in significantly increased operating and net loss in the short term with no assurance that we will eventually achieve our intended long-term benefits or profitability.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To support our business growth, we are continuously optimizing and expanding our infrastructure including data centers, and investing heavily in our research and development efforts, which may negatively impact our cash flow, and may not generate the results we expect to achieve.</w:t>
      </w:r>
    </w:p>
    <w:p>
      <w:pPr>
        <w:spacing w:after="0" w:line="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technological capabilities and infrastructure are critical to our success. We have been continuously optimizing and expanding our infrastructure and investing heavily in our research and development efforts. Our research and development expenses increased from RMB399.2 million in 2017 to RMB440.5 million in 2018, and further increased to RMB595.2 million (US$85.5 million) in 2019. Moreover, our IDC costs increased from RMB1,033.2 million in 2017 to RMB1,890.5 million in 2018, and further increased to RMB2,856.6 million (US$410.3 million) in 2019. The industry in which we operate is subject to rapid technological changes and is evolving quickly in terms of technological innovation. We need to invest significant resources, including financial and human resources, in research and development to lead technological advances in order to make our solutions and products innovative and competitive in the market. As a result, we expect that our research and development expenses will continue to increase. Furthermore, development activities are inherently uncertain, and we might encounter practical difficulties in commercializing our development results. Our significant expenditures on research and development may not generate corresponding benefits. Given the fast pace with which the technology has been and will continue to be developed, we may not be able to timely upgrade our technologies in an efficient and cost-effective manner, or at all. New technologies in our industry could render our technologies, our infrastructure or solutions that we are developing or expect to develop in the future obsolete or unattractive, thereby limiting our ability to recover related development costs, which could result in a decline in our revenues, profitability and market share.</w:t>
      </w:r>
    </w:p>
    <w:p>
      <w:pPr>
        <w:spacing w:after="0" w:line="29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competitive, and if we do not compete effectively, our business, results of operations and financial condition could be harmed.</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cloud service market is competitive and rapidly evolving. The principal competitive factors in our market include completeness of product offerings, level of customization of solutions,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products.</w:t>
      </w:r>
    </w:p>
    <w:p>
      <w:pPr>
        <w:spacing w:after="0" w:line="1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Some of our existing competitors and potential competitors have larger scale, greater brand name recognition, longer operating histories, more established customer relationships and greater resources than we do. As a result, our competitors may be able to respond more quickly and effectively than we can to new or changing opportunities, technologies, standards or customer requirements. In addition, some competitors may offer products, solutions or services that address one or a limited number of functions at lower prices, with greater depth than our products or in different geographies. Our current and potential competitors may develop and market new products, solutions and services with comparable functionality to ours, and this could force us to decrease prices in order to remain competitive. With the introduction of new products, solutions and services and new market entrants, we expect competition to intensify in the future. In addition, some of our customers may choose to use our products and solutions and our competitors’ products and solutions at the same time.</w:t>
      </w:r>
    </w:p>
    <w:p>
      <w:pPr>
        <w:spacing w:after="0" w:line="28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have recorded negative cash flows from operating activities historically. If we fail to collect accounts receivable from our customers in a timely manner, our business operations and financial results may be materially and adversely affected.</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have experienced net cash outflow from operating activities. We recorded net cash used in operating activities of RMB134.5 million, RMB383.1 million and RMB439.1 million (US$63.1 million) in 2017, 2018 and 2019, respectively. The cost of continuing operations could further reduce our cash position, and an increase in our net cash outflow from operating activities could adversely affect our operations by reducing the amount of cash available to meet the capital needs for our daily operation and future business expansion.</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typically extend to our customers credit terms ranging from 30 to 180 days, resulting in accounts receivable. We generally make a credit assessment of our customers before entering into an agreement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them. Nevertheless, we cannot assure you that we are or will be able to accurately assess the creditworthiness of each customer. Furthermore, we also serve customers in certain rapidly evolving and competitive industries, some of which have also been highly regulated, such customers’ financial soundness is subject to changes to the industry trend or relevant laws and regulations, which is beyond our control. Any change in our customers’ business and financial conditions may affect our collection of accounts receivable. Any delay in payment or failed payment may adversely affect our liquidity and cash flows, which in turn cause material adverse effects on our business operations and financial results.</w:t>
      </w:r>
    </w:p>
    <w:p>
      <w:pPr>
        <w:spacing w:after="0" w:line="26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receive a substantial portion of our revenues from a limited number of customers, and the loss of, or a significant reduction in usage by, one or more of our Premium Customers would result in lower revenues and could harm our business.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future success is dependent on establishing and maintaining successful relationships with a diverse set of customers. We currently receive a substantial portion of our revenues from a limited number of customers. In 2017, 2018 and 2019, our total revenues generated from Premium Customers accounted for approximately 93.7%, 95.3% and 97.4% of our total revenues in the same periods, respectively. Revenues generated from our three largest customers accounted for 27% (Xiaomi), 19% and 10%, respectively, of our total revenues in 2017; 25% (Xiaomi), 24% and 11%, respectively, of our total revenues in 2018; and 31%, 14% (Xiaomi) and 12%, respectively, of our total revenues in 2019. It is likely that we will continue to be dependent upon a limited number of customers for a significant portion of our revenues for the foreseeable future and, in some cases, the portion of our revenues attributable to one single customer may increase in the future. The loss of one or more Premium Customers or a reduction in usage by any Premium Customers would reduce our revenues. If we fail to maintain existing customers or develop relationships with new customers, our business would be harmed.</w:t>
      </w:r>
    </w:p>
    <w:p>
      <w:pPr>
        <w:spacing w:after="0" w:line="28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We operate in an emerging and evolving market. If our market does not grow as we expect, or if we fail to adapt and respond effectively to rapidly changing technology, evolving industry standards, changing regulations, and changing customer needs, requirements or preferences, our products and solutions may become less competitive.</w:t>
      </w:r>
    </w:p>
    <w:p>
      <w:pPr>
        <w:spacing w:after="0" w:line="7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cloud service market is at an early stage of development. There are uncertainties over the size and rate at which this market will grow, as well as whether our solutions and products will be widely adopted. Moreover, the cloud industry, including public cloud and enterprise cloud, are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solutions and products that satisfy our customers and provide enhancements and new features for our existing products that keep pace with rapid technological and industry change,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Our platform must also integrate with a variety of network, hardware, software platforms and technologies, and we need to continuously modify and enhance our products and platform to adapt to changes and innovation. For example, if customers adopt new software platforms or infrastructure, we may be required to develop new versions of our products to be compatible with those new software platforms or infrastructure. This development effort may require significant resources, which would adversely affect our business, results of operations and financial condition. Any failure of our products and platform to operate effectively with evolving or new software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Security incidents and attacks on our platform, products or solutions, or our global network infrastructure could lead to significant costs and disruptions that could harm our business, financial results, and reputation.</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business is dependent on providing our customers with safe, reliable and high-quality cloud services. Maintaining the security and availability of our infrastructure, systems, platform, network, and the security of information we hold is a critical issue for us and our customers. Attacks on our customers and our own network are frequent and take a variety of forms, including DDoS attacks, infrastructure attacks, botnets, malicious file attacks, cross-site scripting, credential abuse, ransomware, viruses, worms, and malicious software programs. Malicious actors can attempt to fraudulently induce employees or suppliers to disclose sensitive information through spamming, phishing, or other tactics. In addition, unauthorized parties may attempt to gain physical access to our facilities in order to infiltrate our information systems. We may be subject to cyber-attacks from third parties. Since our customers share our multi-tenant architecture, material attacks on any one of our customers could have a negative effect on other customers. These attacks have significantly increased the bandwidth used on our platform and have strained our network. If attacks like these were to occur in the future and if we do not have the systems and processes in place to respond to them, our business could be harmed.</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recent years, cyber-attacks have increased in size, sophistication, and complexity, increasing exposure for our customers and us. We may become an attractive target for attacks on our infrastructure intended to destabilize, overwhelm, or shut down our platform. The costs incurred by us to avoid or alleviate cyber or other security problems and vulnerabilities will be significant. However, our efforts to address these problems and vulnerabilities may not be successful. Any significant breach of our security measures could:</w:t>
      </w:r>
    </w:p>
    <w:p>
      <w:pPr>
        <w:spacing w:after="0" w:line="92" w:lineRule="exact"/>
        <w:rPr>
          <w:sz w:val="20"/>
          <w:szCs w:val="20"/>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to the dissemination of proprietary information or sensitive, personal, or confidential data about us, our employees, or our customers —including personally identifiable information of individuals involved with our customers and their end-users;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to interruptions or degradation of performance in our platform, products and solutions;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threaten our ability to provide our customers with access to our platform, products and solutions, and negatively affect our abilities to retain existing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generate negative publicity about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litigation and increased legal liability or fines;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to governmental inquiry or oversight.</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occurrence of any of these events could harm our business or damage our brand and reputation, lead to customer credits, loss of customers, higher expenses, and possibly impede our present and future success in retaining and attracting new customers. Security incidents or attacks on our infrastructure would be damaging to our reputation and could harm our business.</w:t>
      </w:r>
    </w:p>
    <w:p>
      <w:pPr>
        <w:spacing w:after="0" w:line="18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Similar security risks exist with respect to our business partners and our third-party suppliers for information technology support services and administrative functions. As a result, we are subject to the risk that cyber-attacks on our business partners and third-party suppliers may adversely affect our business even if an attack or breach does not directly impact our systems. It is also possible that security breaches sustained by our competitors could result in negative publicity for our entire industry that indirectly harms our reputation and diminishes demand for our platform.</w:t>
      </w:r>
    </w:p>
    <w:p>
      <w:pPr>
        <w:spacing w:after="0" w:line="265"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b w:val="1"/>
          <w:bCs w:val="1"/>
          <w:i w:val="1"/>
          <w:iCs w:val="1"/>
          <w:color w:val="auto"/>
        </w:rPr>
        <w:t>Export controls and economic or trade restrictions that are imposed on certain of our business partners or their suppliers may affect our business, financial condition and results of operations.</w:t>
      </w:r>
    </w:p>
    <w:p>
      <w:pPr>
        <w:spacing w:after="0" w:line="6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U.S. government has added several Chinese companies and institutions to the Entity List under the Export Administration Regulations, and imposed targeted economic and trade restrictions on them that, if not waived, will limit their access to U.S.-origin goods and technologies, as well as goods and technologies that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contain a significant portion of U.S.-origin goods and technologies. We believe the immediate and direct impacts on our business resulting from such restrictions are limited, because our sales to the entities on the Entity List have represented a negligible portion of our results of operations. Nonetheless, given the important role played by such Chinese high-tech companies on the Entity List in the global supply chain or in China for industries including telecommunications, information technology infrastructure, artificial intelligence and IoTs, prolonged restrictions against such companies could cause a material negative impact to all such industries, which may in turn materially and adversely affect our business, financial condition and results of operations. Similar or more expansive restrictions that may be imposed on our business partners or their suppliers by the U.S. or other jurisdictions in the future may materially and adversely affect such business partners or their suppliers, which would in turn affect our business.</w:t>
      </w:r>
    </w:p>
    <w:p>
      <w:pPr>
        <w:spacing w:after="0" w:line="16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Although we have started to adopt procedures to comply with U.S. trade laws and regulations, such laws and regulations are complex and likely subject to frequent changes, and the interpretation and enforcement of the relevant regulations involve substantial uncertainties, which may be driven by political and/or other factors that are out of our control or heightened by national security concerns. Such potential restrictions, as well as any associated inquiries or investigations or any other government actions, may be difficult or costly to comply with and may, among other things, delay or impede the development of our technology, products and solutions, hinder the stability of our supply chain, and may result in negative publicity, require significant management time and attention and subject us to fines, penalties or orders that we cease or modify our existing business practices, any of which may have a material and adverse effect on our business, financial condition and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expansion into new verticals is not successful, our business, prospects and growth momentum may be materially and adversely affected.</w:t>
      </w:r>
    </w:p>
    <w:p>
      <w:pPr>
        <w:spacing w:after="0" w:line="14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Leveraging our top-notch infrastructure resources and years of technology accumulation, we are able to provide innovative integrated cloud solutions specifically designed to address the diversified needs of our customers across different verticals. We have a track record of successfully expanding into and becoming a leader in new verticals. We cannot assure you, however, that we will be able to maintain this momentum in the future. Expanding solution categories involves new risks and challenges. Our lack of familiarity with new verticals may make it more difficult for us to keep pace with the evolving customer demands and preferences. In addition, there may be one or more existing market leaders in any vertical that we decide to expand into. Such companies may be able to compete more effectively than us by leveraging their experience in doing business in that markets as well as their deeper industry insight and greater brand recognition among customers. We will need to comply with new laws and regulations applicable to these businesses, the failure of which would adversely affect our reputation, business, results of operations and financial condition. Expansion into any new vertical may place significant strain on our management and resources, and failure to expand successfully could have a material adverse effect on our business and prospects.</w:t>
      </w:r>
    </w:p>
    <w:p>
      <w:pPr>
        <w:spacing w:after="0" w:line="293"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b w:val="1"/>
          <w:bCs w:val="1"/>
          <w:i w:val="1"/>
          <w:iCs w:val="1"/>
          <w:color w:val="auto"/>
        </w:rPr>
        <w:t>Our business is subject to natural disasters, extreme weather conditions, health epidemics and other catastrophic incidents, and to interruption by man-made problems such as power disruptions, computer viruses, data security breaches or terrorism.</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China has in the past experienced significant natural disasters, including earthquakes, extreme weather conditions, as well as health scares related to epidemic diseases, and any similar event could materially impact our business in the future. If a disaster or other disruption were to occur in the future that affects the regions where we operate our business, our operations could be materially and adversely affected due to loss of personnel and damage to property. Even if we are not directly affected, such a disaster or disruption could affect the operations or financial conditions of our customers, which could harm our results of operations.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our business could be affected by public health epidemics, such as the outbreak of avian influenza, severe acute respiratory syndrome, or SARS, Zika virus, Ebola virus or other disease. In late December 2019, a strain of SARS-CoV-2, which causes the COVID-19 disease, was reported to have surfaced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Wuhan, China. On January 30, 2020, the World Health Organization reportedly declared this COVID-19 outbreak a health emergency of international concern. On February 28, 2020, the World Health Organization reportedly increased the assessment of the risk of spread and the risk of impact of COVID-19 to very high at global level. In March 2020, the World Health Organization declared the COVID-19 a pandemic. With an aim to contain the COVID-19 outbreak, the PRC government has imposed various strict measures across the PRC including, but not limited to, travel restrictions, mandatory quarantine requirements, and postponed resumption of business operations. Considering the features of our cloud services, in particular, our public cloud services which are generally offered in a continual and long term, and majority of our employees are located in Beijing, our headquarters, we are adapted to flexible working style and are able to provide services to our customers remotely and promptly during the COVID-19 outbreak, but a few of our enterprise cloud service customers may experience business disruption as a result of those measures to contain the COVID-19 outbreak, resulting in potential delay of certain enterprise cloud service projects. Additionally, as COVID-19 continues to evolve into a worldwide health crisis, it has adversely affected the global economy and financial markets, such as significant declines in the global stock markets. If the COVID-19 outbreak is not effectively controlled in a short period of time, our business and results of operations could be adversely affected to the extent the COVID-19 outbreak harms the China or world economy generally. In addition, our business and results of operations could also be adversely affected to the extent the COVID-19 outbreak harms the business of our customers, who may experience reduced business volume, delay or suspend procurement of cloud services, or reduce their IT spending, which in turn may have a negative impact on the demands for our products and solutions. The extent to which the COVID-19 outbreak impacts our financial condition and results of operations for the full year of 2020 cannot be reasonably estimated at this time and will depend on future developments that currently cannot be predicted, including new information which may emerge concerning the severity of the COVID-19 outbreak and the actions to contain the COVID-19 outbreak or treat its impact, and the impact on the economic growth and business of our customers for the foreseeable future, among others. Any future outbreak of public health epidemics may restrict economic activities in affected regions, resulting in reduced business volume, disrupt our business operations and adversely affect our results of operations.</w:t>
      </w:r>
    </w:p>
    <w:p>
      <w:pPr>
        <w:spacing w:after="0" w:line="16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Although we maintain incident management and disaster response plans, in the event of a major disruption caused by a natural disaster or man-made problem, such as power disruptions, computer viruses, data security breaches or terrorism,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27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us, or effectively develop and expand our marketing and sales capabilities, then our ability to attract new customers may be harmed and our business, results of operations and financial condition may be adversely affected.</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believe that maintaining and enhancing the “Kingsoft Cloud” brand identity and increasing market awareness of our company, products and solutions, is critical to achieving widespread acceptance of our products and solutions, to strengthen our relationships with our existing customers and to our ability to attract new customers. The successful promotion of our brand will depend largely on our continued marketing efforts, our ability to continue to offer high quality products and services, our ability to maintain relationships with bandwidth and hardware suppliers, our ability to be thought leaders in the cloud service market and our ability to successfully differentiate our products and platform from competing products and services. Our brand promotion and thought leadership activities may not be successful or yield increased revenues.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6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Any malicious or inadvertent negative allegations made by the media or other parties about the foregoing or other aspects of our company, including but not limited to our shareholders, management, business, compliance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law, financial condition or prospects, whether with merit or not, could severely hurt our reputation and harm our business and results of operations.</w:t>
      </w:r>
    </w:p>
    <w:p>
      <w:pPr>
        <w:spacing w:after="0" w:line="24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may receive complaints from our customers on our products, pricing and customer support. If we do not handle customer complaints effectively, our brand and reputation may suffer, our customers may lose confidence in us and they may reduce or cease their use of our products. In addition, our customers may post and discuss on social media about our products, solutions and relevant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solutions or platform upset these customers, their online commentary could negatively affect our brand and reputation. Complaints or negative publicity about us, our products, solutions or platform could materially and adversely impact our ability to attract and retain customers, our business, results of operations and financial condition.</w:t>
      </w:r>
    </w:p>
    <w:p>
      <w:pPr>
        <w:spacing w:after="0" w:line="16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we also provide services to a wide range of enterprise clients and institutions, negative publicity about such counterparties, including any failure by them to adequately protect customer information, to comply with applicable laws and regulations or to otherwise meet required quality and service standards could harm our reputation.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revenues, the increased revenues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96"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b w:val="1"/>
          <w:bCs w:val="1"/>
          <w:i w:val="1"/>
          <w:iCs w:val="1"/>
          <w:color w:val="auto"/>
        </w:rPr>
        <w:t>Our business depends on customers increasing their use of our products and solutions, and any loss of customers or decline in their use of our products and solutions could materially and adversely affect our business, results of operations and financial condition.</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grow and generate incremental revenues depends, in part, on our ability to maintain and grow our relationships with existing customers and to have them increase their usage of our platform. If our customers do not increase their use of our products, then our revenues may decline and our results of operations may be harmed. Substantially all of our customers do not have long-term contractual financial commitments to us. We cannot accurately predict customers’ usage levels and the loss of customers or reductions in their usage levels of our products may each have a negative impact on our business, results of operations and financial condition. Reductions in usage from existing customers and the loss of customers could cause our net dollar retention rate to decline in the future if customers are not satisfied with our products, the value proposition of our products or our ability to otherwise meet their needs and expectations. Further, some of our customers may choose to develop their own solutions that do not include our products, or adopt a multi-cloud strategy decreasing usage of our products. They may also demand reductions in pricing as their usage of our products increases, which could have an adverse impact on our gross margin. If a significant number of customers cease using, or reduce their usage of our products, then we may not be able to achieve our growth target, and may need to spend significantly more on sales and marketing than we currently plan to spend in order to maintain or increase revenues from customers. Such additional sales and marketing expenditures could adversely affect our business, results of operations and financial condition.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 significant portion of our revenues were derived from customers in a limited number of industries. The intensifying competition, change in sector trend and landscape and government policies may have a direct impact on those industries and negatively affect the stability of our clients, which may subsequently have negative impact on our business.</w:t>
      </w:r>
    </w:p>
    <w:p>
      <w:pPr>
        <w:spacing w:after="0" w:line="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 significant portion of our revenues were derived from customers engaged in a limited number of industries in China, some of which are emerging and highly competitive, such as video and game. Any change in the competitive landscape, market trend or user behaviors in such sectors may have a negative impact on our customers, thus harm their ability to make payments and maintain and increase the usage of our products and solutions. In addition, some of these industries in China are highly regulated by the PRC government and numerous regulatory authorities of the central PRC government are empowered to issue and implement regulations governing various aspects of these industries. As the laws and regulations are evolving and some of them are relatively new, changes to the current laws and regulations may harm our business and results of operation. In addition, interpretation and enforcement of such laws and regulations involve significant uncertainty. As a result, in certain circumstances it may be difficult to determine what actions or omissions may be deemed to be in violations of applicable laws and regulations. If these laws and regulations or the uncertainty associated with their interpretation negatively impact the industries where our customers operate, our business may be adversely affected as well.</w:t>
      </w:r>
    </w:p>
    <w:p>
      <w:pPr>
        <w:spacing w:after="0" w:line="3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the adoption of our cloud products and solutions by our customers is slower than we expected, our business, results of operations and financial condition may be adversely affected.</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Our business has relied on the adoption of our cloud products and solutions by a broad array of customers. Our ability to further increase our customer base, and achieve broader market acceptance of our products and solutions will depend, in part, on our ability to effectively organize, focus and train our sales and marketing personnel. Our ability to achieve significant revenue growth in the future will depend, in part, on our ability to recruit, train and retain a sufficient number of experienced sales professionals. Our recent hires and planned hires may not become as productive as quickly as we expect and we may be unable to hire or retain sufficient numbers of qualified individuals in the future in the markets where we do business.</w:t>
      </w:r>
    </w:p>
    <w:p>
      <w:pPr>
        <w:spacing w:after="0" w:line="16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As we seek to increase the adoption of our products and solutions by our customers, we may incur higher costs and longer sales cycles. The decision to adopt our products and solutions may require the approval of multiple technical and business decision makers, including security, compliance, procurement, operations and IT. In addition, while customers may quickly deploy our products and solutions on a limited basis before they will commit to deploying our products and solutions at scale, they often require extensive education about our products and solutions and significant customer support time, engage in protracted pricing negotiations and seek to secure readily available development resources.</w:t>
      </w:r>
    </w:p>
    <w:p>
      <w:pPr>
        <w:spacing w:after="0" w:line="26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require a significant amount of capital to fund our operations and respond to business opportunities. If we cannot obtain sufficient capital on acceptable terms, or at all, our business, financial condition and results of operations may be materially and adversely affected.</w:t>
      </w:r>
    </w:p>
    <w:p>
      <w:pPr>
        <w:spacing w:after="0" w:line="1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make investments from time to time in product development, technologies, branding, sales and marketing to remain competitive. In the past, our principal sources of liquidity included bank loans, loans from Kingsoft Group and the proceeds received from the issuance and sale of our preferred shares. See “Description of Share Capital—History of Securities Issuances.” Our ability to obtain additional financing in the future is subject to a number of uncertainties, including those relating to:</w:t>
      </w:r>
    </w:p>
    <w:p>
      <w:pPr>
        <w:spacing w:after="0" w:line="9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for financing activities;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macro-economic and other conditions in China and elsewhere.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Although we expect to rely less on financing support from our existing shareholders and rely increasingly on net cash provided by operating activities and financing through capital markets and commercial banks for our liquidity needs as our business continues to grow and as we become a public company, we cannot assure you that we will be successful in our efforts to diversify our sources of capital. If we cannot obtain sufficient capital, we may not be able to implement our growth strategies, and our business, financial condition and results of operations may be materially and adversely affected.</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be unable to obtain additional capital in a timely manner or on acceptable terms or at all. In addition, due to future capital needs and other business reasons, we may need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27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ability to maintain customer satisfaction depends in part on the consistency and quality of our customer support services through the product cycle. Failure to maintain continuous and high-quality customer support could have an adverse effect on our business, results of operation, and financial condition.</w:t>
      </w:r>
    </w:p>
    <w:p>
      <w:pPr>
        <w:spacing w:after="0" w:line="7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believe that customer satisfaction is key to our business. In order to deliver high-level customer satisfaction, we must successfully assist our customers in deploying and continuing to use our products and solutions, resolving performance issues, addressing interoperability challenges with the customers’ existing IT infrastructure, and responding to security threats, cyber-attacks and performance and reliability problems that may arise from time to time. The IT architecture of our customers, particularly the larger organizations, are very complex and may require high levels of focused support to effectively utilize our platform and products. Because our platform and products are designed to be highly configurable and to rapidly implement customers’ reconfigurations, customer errors in configuring our platform and products can result in significant disruption to our customers. Our support organization will face additional challenges associated with our international operations, including those associated with delivering support and documentation in languages other than Chinese and English. Increased demand for customer support, without corresponding increases in revenues, could increase our costs and adversely affect our business, results of operations, and financial condition.</w:t>
      </w:r>
    </w:p>
    <w:p>
      <w:pPr>
        <w:spacing w:after="0" w:line="16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There can be no assurance that we will be able to hire sufficient personnel as and when needed, particularly if our sales exceed our internal forecasts. To the extent that we are unsuccessful in hiring, training, and retaining adequate support resources, our ability to provide high-quality and timely support to our customers will be negatively impacted, and our customers’ satisfaction with our network could be adversely affected. Any failure to maintain high-quality customer support, or a market perception that we do not maintain high-quality customer support, could adversely affect our reputation, business, results of operations, and financial condition, particularly with respect to our large enterprise customers.</w:t>
      </w:r>
    </w:p>
    <w:p>
      <w:pPr>
        <w:spacing w:after="0" w:line="26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employ a pricing model and strategy that subjects us to various challenges that could make it difficult for us to derive sufficient value from our customers.</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generally charge public cloud service customers on a monthly basis based on utilization and duration. We generally charge enterprise cloud service customers on a project basis. Such pricing model requires us to undertake significant projections and planning on our costs. If our projections and plans differ significantly from those actually incurred, our business could be harmed. We do not know whether our current or potential customers or the market in general will continue to accept this pricing model going forward and, if it fails to gain acceptance, our business could be harmed. In addition, if our competitors adopt new pricing models that become more attractive to customers, our business could be harmed.</w:t>
      </w:r>
    </w:p>
    <w:p>
      <w:pPr>
        <w:spacing w:after="0" w:line="16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also generally rely on telecommunication operators for network bandwidth and third parties servers or server racks based on expected usage from our customers. In certain of our arrangements with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telecommunication operators, we have made minimum purchase commitments to secure bandwidth resources, which may be underutilized. For example, in April 2020, we entered into a non-cancelable one-year internet data center service agreement, pursuant to which we have a contractual minimum purchase commitment amounting to RMB240.0 million and we shall pay additional fees for usages above the committed amount. Such costs are fixed in nature for some amount of time, so it may not be possible to reduce the costs in a timely manner if the usage from our customers declines. If our customers use our platform in a manner that is inconsistent with how we have invested in bandwidth, servers, and racks, our business could be harmed. In addition, we have historically adopted an aggressive pricing strategy to gain a certain share in the market. To the extent that such strategy helps us increase revenues, the increased revenues still may not be enough to offset the increased cost and expenses we incur. Moreover, we may have to keep the price of our products and solutions being on par with our competitors to remain in our competitive position. If we are not able to advance our technologies and effectively control costs, our business, results of operation and financial condition may be negatively affected.</w:t>
      </w:r>
    </w:p>
    <w:p>
      <w:pPr>
        <w:spacing w:after="0" w:line="27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Defects or errors in our products or solutions could diminish demand for our products or solutions, harm our business and results of operations and subject us to liability.</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our solutions and products must interoperate with our customers’ existing internal networks and infrastructure. These complex internal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products to customers with highly complex and customized internal networks, which requires careful planning and execution between our customers, our customer support teams and, in some cases, our channel partners. Further, when new or updated elements of our customers’ infrastructure or new industry standards or protocols are introduced, we may have to update or enhance our technologies and infrastructure to allow us to continue to provide our products to customers. Our competitors or other vendors may refuse to work with us to allow their products to interoperate with our platform and products, which could make it difficult for our platform and products to function properly in customer internal networks and infrastructures that include these third-party products.</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not deliver or maintain interoperability quickly or cost-effectively, or at all. These efforts require capital investment and engineering resources. If we fail to maintain compatibility of our solutions, platform and products with our customers’ internal networks and infrastructures, our customers may not be able to fully utilize our solutions, platform and products, and we may, among other consequences, lose or fail to increase our market share and experience reduced demand for our products, which would materially harm our business, results of operations, and financial condition.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sales and onboarding cycles with customers can be long and unpredictable, and our sales and onboarding efforts require considerable time and expense, which may adversely affect our business, results of operations and financial condition.</w:t>
      </w:r>
    </w:p>
    <w:p>
      <w:pPr>
        <w:spacing w:after="0" w:line="62"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color w:val="auto"/>
        </w:rPr>
        <w:t>The timing of our sales with our enterprise customers and related revenue recognition is difficult to predict because of the length and unpredictability of the sales cycle for these customers. In addition, for our enterprise customers, the lengthy sales cycle for the evaluation and implementation of our products and solutions may also cause us to experience a delay between expenses for such sales efforts and the generation of corresponding revenues. The length of our sales cycle for these enterprise customers, from initial evaluation to payment, can range from one to six months and can vary substantially from customer to customer. We may have to expend significant money and resources before recognizing revenues from those enterprise customers.</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Similarly, the onboarding and ramping process with new enterprise customers can take several months. As the purchase of our products can be dependent upon customer initiatives, our sales cycle can extend to even longer periods of time. Customers frequently require considerable time to evaluate, test, and qualify our product offering prior to entering into or expanding a contract commitment. During the sales cycle, we expend significant time and money on sales and marketing and contract negotiation activities, which may not result in a completed sale. Additional factors that may influence the length and variability of our sales cycle include:</w:t>
      </w:r>
    </w:p>
    <w:p>
      <w:pPr>
        <w:spacing w:after="0" w:line="93"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force, particularly new salespeople, as we increase the size of our sales force;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discretionary nature of customers’ purchasing decisions and budget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customers’ procurement processes, including their evaluation of our products and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conditions and other factors affecting customer budgets;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regulatory environment in which our customers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integration complexity for a customer deployment;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customer’s familiarity with cloud products and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customer demands;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333" w:lineRule="exact"/>
        <w:rPr>
          <w:sz w:val="20"/>
          <w:szCs w:val="20"/>
          <w:color w:val="auto"/>
        </w:rPr>
      </w:pPr>
    </w:p>
    <w:p>
      <w:pPr>
        <w:ind w:left="120" w:right="460"/>
        <w:spacing w:after="0" w:line="375" w:lineRule="auto"/>
        <w:rPr>
          <w:sz w:val="20"/>
          <w:szCs w:val="20"/>
          <w:color w:val="auto"/>
        </w:rPr>
      </w:pPr>
      <w:r>
        <w:rPr>
          <w:rFonts w:ascii="Arial" w:cs="Arial" w:eastAsia="Arial" w:hAnsi="Arial"/>
          <w:sz w:val="15"/>
          <w:szCs w:val="15"/>
          <w:b w:val="1"/>
          <w:bCs w:val="1"/>
          <w:i w:val="1"/>
          <w:iCs w:val="1"/>
          <w:color w:val="auto"/>
        </w:rPr>
        <w:t>We face challenges from the evolving regulatory environment and user attitude toward data privacy and protection. Actual or alleged failure to comply with data privacy and protection laws and regulations could materially and adversely affect our business and results of operations.</w:t>
      </w:r>
    </w:p>
    <w:p>
      <w:pPr>
        <w:spacing w:after="0" w:line="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operate in the regulatory environment in which data privacy and protection is evolving. We cannot assure you that relevant governmental authorities will not interpret or implement the laws or regulations in ways that negatively affect the cloud service industry, our clients and us. Regulatory investigations, restrictions, penalties and sanctions, whether targeted at us or not, may negatively affect the market environment in which we operate, our existing or potential clients, and our products and services, which may in turn have a material adverse effect on our business, results of operations and financial condition. It is also possible that we may become subject to additional or new laws and regulations regarding data privacy and protection in connection with the data we have access to and the data products and services we provide to our clients. Moreover, we may become subject to regulatory requirements as a result of utilization of our products and services by residents of, or travelers who visit, certain jurisdictions, such as the General Data Protection Regulation of the European Union, or the GDPR. Complying with additional or new regulatory requirements could force us to incur substantial costs or require us to change our business practices. Moreover, if a high profile security breach occurs with respect to our competitors, people may lose trust in the security of cloud service providers generally, including us, which could damage the reputation of the industry, result in heightened regulation and strengthened regulatory enforcement and adversely affect our business and results of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expect that we will continue to face uncertainty as to whether our efforts to comply with evolving obligations under global data protection, privacy and security laws will be sufficient. For example, during a inspection conducted by Ministry of Industry and Information Technology of People’s Republic of China (“MIIT”) in September 2019, the Cybersecurity Administration Office of MIIT found that certain functions of our cybersecurity system did not satisfy relevant requirements imposed by the telecommunications authority and our user data system did not provide sufficient data and privacy protection. We are currently implementing certain rectification measures in accordance with the inspection results. Any failure or perceived failure by us to comply with applicable laws and regulations could result in reputational damage or proceedings or actions against us by governmental authorities, individuals or others. These proceedings or actions could subject us to significant civil or criminal penalties and negative publicity, require us to change our business practices, increase our costs and materially harm our business, prospects, financial condition and results of operations. In addition, our current and future relationships with customers, vendors and other third parties could be negatively affected by any proceedings or actions against us or current or future data protection obligations imposed on them under applicable law, including the GDPR. Furthermore, a data breach affecting personal information could result in significant legal and financial exposure and reputational damage that could potentially have an adverse effect on our business.</w:t>
      </w:r>
    </w:p>
    <w:p>
      <w:pPr>
        <w:spacing w:after="0" w:line="2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business partners and customers may be subject to regulations related to the handling and transfer of certain types of sensitive and confidential information. Any failure of our partners or customers to comply with applicable laws and regulations would harm our business, results of operations and financial condition.</w:t>
      </w:r>
    </w:p>
    <w:p>
      <w:pPr>
        <w:spacing w:after="0" w:line="76"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Our business partners and customers that use our products may be subject to privacy- and data protection-related laws and regulations that impose obligations in connection with the collection, processing and use of personal data, financial data, health data or other similar data.</w:t>
      </w:r>
    </w:p>
    <w:p>
      <w:pPr>
        <w:spacing w:after="0" w:line="14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Any failure or perceived failure by our business partners or customers to comply with applicable laws and regulations could result in their reputational damage or governmental investigations, inquiries, enforcement actions and prosecutions, private litigation, fines and penalties or adverse publicity, which may harm our business partnership and have a negative impact on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harmed by data loss or other security breaches</w:t>
      </w:r>
    </w:p>
    <w:p>
      <w:pPr>
        <w:spacing w:after="0" w:line="117"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Because we process, store, and transmit large amounts of data, including personal information, failure to prevent or mitigate risks of data loss or other security breaches, including breaches of our vendors’ or customers’ technology and systems, could expose us or our customers to a risk of loss or misuse of such information, adversely affect our operating results, result in litigation or potential liability for us, deter customers or sellers from using our stores and services, and otherwise harm our business and reputation. We use third-party technology and systems for a variety of reasons, including, without limitation, encryption and authentication technology, employee email, content delivery to customers, back-office support, and other functions. Some of our systems have experienced past security breaches, and, although they did not have a material adverse effect on our operating results, there can be no assurance of a similar result in the future. Although we have developed systems and processes that are designed to protect customer information and prevent data loss and other security breaches, including systems and processes designed to reduce the impact of a security breach at a third-party vendor or customer, such measures cannot provide absolute security. Moreover, in the event of a major system disruption, hardware malfunction or damages to data centers and servers caused by technologies failures, natural disasters or man-made problems, we may experience significant loss of data which would materially and adversely affect our business, financial condition and results of operations.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products and solutions, and could adversely affect our business, results of operations and financial condition.</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communications and business applications. Chinese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29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may have insufficient computing resources, transmission bandwidth and storage space, which could result in disruptions and our business, results of operations and financial condition could be adversely affected.</w:t>
      </w:r>
    </w:p>
    <w:p>
      <w:pPr>
        <w:spacing w:after="0" w:line="6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The bandwidth we have contracted to use or the data centers we have established may become unavailable for a variety of reasons, including service outages, payment disputes, network providers going out of business, natural disasters, networks imposing traffic limits, or governments adopting regulations that impact network operations. In some regions, bandwidth providers have their own services that compete with us, or they may choose to develop their own services that will compete with us.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w:t>
      </w:r>
    </w:p>
    <w:p>
      <w:pPr>
        <w:spacing w:after="0" w:line="276"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Our services rely on the stable performance of servers, and any disruption to our servers due to internal and external factors could diminish demand for our products or solutions, harm our business, our reputation and results of operations and subject us to liability.</w:t>
      </w:r>
    </w:p>
    <w:p>
      <w:pPr>
        <w:spacing w:after="0" w:line="3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rely in part upon the stable performance of our servers for provision of our solutions, products and services. Any disruption to our servers may happen due to internal and external factors, such as inappropriate maintenance, defects in the servers, cyber-attacks targeted at us, occurrence of catastrophic events or human errors. Such disruption could result in negative publicity, loss of or delay in market acceptance of our solutions and products, loss of competitive position, lower customer retention or claims by customers for losses sustained by them. In such an event, we may need to expend additional resources to help with recovering. In addition, we may not carry insurance to compensate us for any losses that may result from claims arising from disruption in servers. As a result, our reputation and our brand could be harmed, and our business, results of operations and financial condition may be adversely affected.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Our use of open source or third-party software could negatively affect our ability to sell our products and solutions, and subject us to possible litigation.</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products and platform incorporate open source software, and we expect to continue to incorporate open source software in our products and platform in the future. Courts have interpreted few of the licenses applicable to open source software,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or our employees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revenues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essential services could adversely affect our ability to manage our business effectively and harm our business.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rely on a limited number of suppliers for certain essential services to operate our network and provide solutions and products to our customers. For example, we generally rely on a limited number of suppliers to purchase the servers that we use and we ordinarily purchase these equipment on a purchase-order basis. We also rely on a limited number of suppliers for bandwidth and racks. We may experience shortages in components or delays in delivery, including as a result of natural disasters, increased demand in the industry or our suppliers lacking sufficient rights to supply the servers or IDCs in all jurisdictions in which we operate.</w:t>
      </w:r>
    </w:p>
    <w:p>
      <w:pPr>
        <w:spacing w:after="0" w:line="188"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Our reliance on these suppliers exposes us to risks, including reduced control over production costs and constraints based on the then current availability, terms, and pricing of these services. We generally do not have any long-term contracts guaranteeing supply with these suppliers. If our supply of certain services is disrupted or delayed, there can be no assurance that additional supplies or services can serve as adequate replacements or that supplies will be available on terms that are favorable to us, if at all. Moreover, even if we can identify adequate replacements on substantially similar terms, our business could be adversely affected until those efforts were completed. Any disruption or delay in the supply of our hardware components may delay the opening of new network facilities, limit capacity expansion or replacement of defective or obsolete equipment at existing network facilities, or cause other constraints on our operations that could damage our customer relationships.</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January 17, 2017, the Ministry of Industry and Information Technology promulgated Notice on Cleaning Up and Regulating the Internet Access Service Market, or the Notice on the Internet Access Service, which prohibits the “multi-level sublease” and requires that IDC enterprises shall not sublease the IP address, bandwidth or other network access resources they have obtained from basic telecommunication operators to other enterprises for operating businesses of IDC, Internet service provider (ISP) or others. According to the Notice on the Internet Access Service, enterprises engaged in the businesses of IDC, ISP or content delivery network shall conduct comprehensive self-inspection, rectify violations of the relevant regulations in a timely manner to ensure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their business operations are in compliance with the applicable laws and regulations and the network facilities and network access resources are used in a compliant manner. The regulatory authorities shall urge enterprises in violation of the relevant regulations to make rectifications in a timely manner and take stern actions in accordance with the laws against the enterprises that refuse to make such rectifications, and such enterprises may fail to pass the annual inspection, or the licenses or permits of such enterprises may not be renewed upon expiration and their cooperation with the basic telecommunications operators may be adversely affected under serious circumstances. Due to the evolving regulatory environment and the fact that there is no further interpretations or applications from the competent authorities on such laws and regulations, we cannot be certain whether the supply of IP address and bandwidth from IDC suppliers to us will be determined as “multi-sublease” and prohibited by the competent regulatory authorities. If our historical or current cooperation with third-party IDC suppliers are determined as non-compliant activities, we may no longer be able to collaborate with such IDC suppliers. Furthermore, it remains unclear whether we, as the sublessee, may also be subject to penalties if we were unable to implement effective rectification measures if required by the regulatory authority. If so, our business, financial condition, results of operations and prospects could be materially and adversely affected. As of the date of this prospectus, we have not received any notice from a regulatory authority that would require us to suspend or rectify our current business cooperation with the IDC suppliers.</w:t>
      </w:r>
    </w:p>
    <w:p>
      <w:pPr>
        <w:spacing w:after="0" w:line="27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We rely on channel partners to distribute some of our products and solutions or provide certain support services. If our channel partners’ access to our platform, products and solutions is interrupted or delayed for any reason, or they fail to deliver quality services to the satisfaction of our customers, our business and results of operation may be harmed.</w:t>
      </w:r>
    </w:p>
    <w:p>
      <w:pPr>
        <w:spacing w:after="0" w:line="7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Some of our public service customers rely on their agents when selecting suppliers or service providers, to save them from the efforts of directly negotiating with a large number of different suppliers or service providers. We work closely with these agents as our channel partners and leverage their understanding of end users’ demands, thereby developing tailored marketing strategies. Before a public service customer launches a project for cloud solutions, it typically lays out the goals it plans to achieve and the budget for the project and engages a third-party agent, which will provide various types of assistance in project implementation, such as advising on financing plan, selecting suppliers, managing construction and integrating work products of different suppliers. If our channel partners fail to continuously provide high quality services to our customers, our business may be harmed.</w:t>
      </w:r>
    </w:p>
    <w:p>
      <w:pPr>
        <w:spacing w:after="0" w:line="16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Any interruption or delay in our channel partners’ access to our platform, products and solutions will negatively impact our customers. Our customers depend on the continuous availability of our network for the delivery and use of our products and solutions. If all or a portion of our network were to fail, our customers and partners could lose access to the internet until such disruption is resolved or they deploy disaster recovery options that allow them to bypass our network. The adverse effects of any network interruptions on our reputation and financial condition may be heightened due to the nature of our business and our customers’ expectation of continuous and uninterrupted internet access and low tolerance for interruptions of any duration. While we do not consider them to have been material, we have experienced, and may in the future experience, network disruptions and other performance problems due to a variety of factors.</w:t>
      </w:r>
    </w:p>
    <w:p>
      <w:pPr>
        <w:spacing w:after="0" w:line="285"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Strategic transactions, including acquisitions and investments, may divert our management’s attention and result in debt or dilution to our shareholders. We may be unable to integrate acquired businesses and technologies successfully or achieve the expected benefits of such acquisitions.</w:t>
      </w:r>
    </w:p>
    <w:p>
      <w:pPr>
        <w:spacing w:after="0" w:line="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may evaluate and consider potential strategic transactions, including acquisitions of, or investments in, businesses, technologies, services, products and other assets in the future. We also may cooperate with other business partners to expand our products and platform, which could involve preferred or exclusive licenses, additional channels of distribution, discount pricing or investments in other companies.</w:t>
      </w:r>
    </w:p>
    <w:p>
      <w:pPr>
        <w:spacing w:after="0" w:line="16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assimilating or integrating the businesses, technologies,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 Moreover, we may record significant impairments on our investments, which could have a material adverse effect on our results of operations.</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Negotiating these transactions can be time-consuming,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8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debt on terms unfavorable to us or that we turn out to be unable to repay;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encounter difficulties in retaining key employees of the acquired company or integrating diverse software codes or business cultures;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occurrence of any of these foregoing could adversely affect our business, results of operations and financial condition.</w:t>
      </w:r>
    </w:p>
    <w:p>
      <w:pPr>
        <w:spacing w:after="0" w:line="33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management and other key personnel, as well as a competent pool of talents that supports our existing operations and future growth. If we are unable to retain, attract, recruit and train such personnel, our business may be materially and adversely affected.</w:t>
      </w:r>
    </w:p>
    <w:p>
      <w:pPr>
        <w:spacing w:after="0" w:line="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future success depends heavily on the continued contributions of our senior management, many of whom are difficult to replace. In particular, we rely on the expertise, experience and vision of our senior management team. If any of our senior management becomes unable or unwilling to continue to contribute their services to us, we may not be able to replace them easily, or at all. As a result, our business may be severely disrupted, and our financial condition and results of operations may be materially and adversely affected.</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Additionally, our future success also depends on our ability to attract, recruit and train a large number of qualified employees and retain existing key employees. In particular, we rely on our top notch research and development team to develop our advanced algorithms and technologies and our experienced sales personnel to maintain relationship with our customers. In order to compete for talents, we may need to offer higher compensation, better trainings and more attractive career opportunities and other benefits to our employees, which may be costly and burdensome. We cannot assure you that we will be able to attract or retain a qualified workforce necessary to support our future growth. Furthermore, any disputes between us and our employees or any labor-related regulatory or legal proceedings may divert management and financial resources, negatively impact staff morale, reduce our productivity, or harm our reputation and future recruiting efforts. In addition, our ability to train and integrate new employees into our operations may not meet the demands of our growing business. Any of the above issues related to our workforce may materially and adversely affect our operations and future growth.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to remediate our material weakness over financial reporting, we may be unable to accurately report our results of operations, meet our reporting obligations or prevent fraud, and investor confidence and the market price of the ADSs may be materially and adversely affected.</w:t>
      </w:r>
    </w:p>
    <w:p>
      <w:pPr>
        <w:spacing w:after="0" w:line="7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Prior to this offering, we have been a private company with limited accounting and financial reporting personnel and other resources with which we address our internal control over financial reporting. In connection with the audits of our consolidated financial statements as of December 31, 2018 and 2019 and for the years ended December 31, 2017, 2018 and 2019, we and our independent registered public accounting firm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material weakness identified is our company’s lack of sufficient accounting and financial reporting personnel with requisite knowledge and experience in application of U.S. GAAP and SEC rules. We are in the process of implementing a number of measures to address the material weakness. See “Management’s Discussion and Analysis of Financial Condition and Results of Operations — Internal Control Over Financial Reporting.” However, we cannot assure you that these measures may fully address the material weakness and deficiencies in our internal control over financial reporting or that we may conclude that they have been fully remediated.</w:t>
      </w:r>
    </w:p>
    <w:p>
      <w:pPr>
        <w:spacing w:after="0" w:line="188"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Upon completion of this offering, we will become subject to the Sarbanes-Oxley Act of 2002. Section 404 of the Sarbanes-Oxley Act, or Section 404, will require that we include a report from management on the effectiveness of our internal control over financial reporting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international operations, which exposes us to significant regulatory, economic and political risks, the failure to handle which may adversely affect our business, results of operations and financial condition.</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see great potentials in expanding our business and promoting our products and solutions globally. Operating in international markets requires significant resources and management attention and will subject us to regulatory, economic and political risks in addition to those we already face in China. Because of our limited experience with international operations, as well as developing and managing sales in international markets, our international expansion efforts may not be successful.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numerous international locations;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or more variable network service provider fees outside of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offer customer support in various languages;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130" w:lineRule="exact"/>
        <w:rPr>
          <w:rFonts w:ascii="Arial" w:cs="Arial" w:eastAsia="Arial" w:hAnsi="Arial"/>
          <w:sz w:val="18"/>
          <w:szCs w:val="18"/>
          <w:color w:val="auto"/>
        </w:rPr>
      </w:pPr>
    </w:p>
    <w:p>
      <w:pPr>
        <w:ind w:left="1080" w:right="54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with differing technical and environmental standards, data privacy and telecommunications regulations and certification requirements outside China, which could prevent customers from deploying our products or limit their usage;</w:t>
      </w:r>
    </w:p>
    <w:p>
      <w:pPr>
        <w:spacing w:after="0" w:line="5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Foreign Corrupt Practices Act and United Kingdom Bribery Act of 2010;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and other non-tariff barriers, such as quotas and local content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China, increase the expenses of our international operations and expose us to foreign currency exchange rate risk;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RMB;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deterioration of political relations between China and other countries;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which could have an adverse impact on our operations in that location.</w:t>
      </w:r>
    </w:p>
    <w:p>
      <w:pPr>
        <w:spacing w:after="0" w:line="170"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In particular, to pursue international expansion, we will focus on “Belt and Road” countries, where the cloud markets are less saturated and present more attractive opportunities. “Belt and Road” initiative refers to China’s proposal to build “Silk Road Economic Belt” and “21st Century Maritime Silk Road” in cooperation with related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countries across Asia, Europe and Africa, focusing on promoting policy coordination, connectivity of infrastructure and facilities, unimpeded trade, financial integration, and strengthened people-to-people ties through a consultative process and joint efforts, with the goal of bringing benefits to all. When focusing on “Belt and Road” countries, our failures in such specific countries due to, among others, political, economic and social instability, and changes in the competitive landscape in the local cloud service market, may have adverse impact on our internal expansion strategy.</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Also, costs from our international expansion efforts and network service provider fees outside of China may be generally higher than domestic rates, our gross margin for international customers may be typically lower than our gross margin for domestic customers. As a result, our gross margin may be impacted and fluctuate as we expand our operations and customer base worldwide.</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results of operations and financial condition.</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services to highly regulated organizations are subject to a number of challenges and risks, the failure to handle which may adversely affect our business, results of operations and financial condition.</w:t>
      </w:r>
    </w:p>
    <w:p>
      <w:pPr>
        <w:spacing w:after="0" w:line="6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serve customers in highly regulated industries such as financial services, healthcare and other public service sectors, sales to which are subject to a number of challenges and risks. Selling to such highly regulated organizations can be highly competitive, expensive, and time-consuming, often requiring significant upfront time and expense without any assurance that these efforts will generate a sale. Public service contracting requirements may change and in doing so restrict our ability to sell into public service sector until we comply with the revised requirements. Demand and payment for our services are affected by public service sector budgetary cycles and funding authorizations, with funding reductions or delays adversely affecting public service sector demand for our services. In addition, demand of public service customers for our products and solutions may be reduced or diminished upon the completion of this offering subject to the future relationship between China and the United States.</w:t>
      </w:r>
    </w:p>
    <w:p>
      <w:pPr>
        <w:spacing w:after="0" w:line="16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Further, highly regulated organizations may demand shorter contract terms or other contractual provisions that differ from our standard arrangements, including terms that can lead those customers to obtain broader rights in our services than would be standard. Such organizations may have statutory, contractual, or other legal rights to terminate contracts with us or our channel partners due to a default or for other reasons, and any such termination may harm our business. In addition, these organizations may be required to publish the rates we negotiate with them, which could harm our negotiating leverage with other potential customers and in turn harm our business.</w:t>
      </w:r>
    </w:p>
    <w:p>
      <w:pPr>
        <w:spacing w:after="0" w:line="2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or our business partners with which we collaborate are subject to anti-corruption, anti-bribery, and similar laws, and noncompliance with such laws can subject us to criminal penalties or significant fines and harm our business and reputation.</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are subject to the U.S. Foreign Corrupt Practices Act of 1977, the UK Bribery Act 2010, and other anti-corruption, anti-bribery, anti-money laundering, and similar laws in China, the United States and other countries in which we conduct activities. Anti-corruption and anti-bribery laws, which have been enforced aggressively and are interpreted broadly, prohibit companies and their employees and agents from promising, authorizing, making, or offering improper payments or other benefits to government officials and others in the public sector. We leverage our business partners, including channel partners, to sell our products and solutions and host many of our facilities for our network. We may also rely on our business partners to conduct our business abroad. We and our business partners may have direct or indirect interactions with officials and employees of government agencies or state-owned or affiliated entities and we may be held liable for the corrupt or other illegal activities of our business partners and intermediaries, our employees, representatives, contractors, channel partners and agents, even if we do not explicitly authorize such activities. Further, some of our international sales activity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occurs, and some of our network infrastructure or data center is located, in parts of the world that are recognized as having a greater potential for business practices that violate anti-corruption, anti-bribery, or similar laws.</w:t>
      </w:r>
    </w:p>
    <w:p>
      <w:pPr>
        <w:spacing w:after="0" w:line="170"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cannot assure you that all of our employees and agents have complied with, or in the future will comply with, our policies and applicable law. The investigation of possible violations of these laws, including internal investigations and compliance reviews that we may conduct from time to time, could have a material adverse effect on our business. Noncompliance with these laws could subject us to investigations, severe criminal or civil sanctions, settlements, prosecution, loss of export privileges, suspension or debarment from Chinese government contracts and other contracts, other enforcement actions, the appointment of a monitor, disgorgement of profits, significant fines, damages, other civil and criminal penalties or injunctions, whistleblower complaints, adverse media coverage and other consequences. Other internal and government investigations, regulatory proceedings, or litigation, including private litigation filed by our shareholders, may also follow as a consequence. Any investigations, actions, or sanctions could materially harm our reputation, business, results of operations, and financial condition. Further, the promulgation of new laws, rules or regulations or new interpretations of current laws, rules or regulations could impact the way we do business in other countries, including requiring us to change certain aspects of our business to ensure compliance, which could reduce revenues, increase costs, or subject us to additional liabilities.</w:t>
      </w:r>
    </w:p>
    <w:p>
      <w:pPr>
        <w:spacing w:after="0" w:line="27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Certain of our products and solutions are subject to telecommunications-related regulations, and future legislative or regulatory actions could adversely affect our business, results of operations and financial condition.</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Some of our products and solutions are subject to existing or potential telecommunication laws and regulations in China. If we do not comply with these rules and regulations, we could be subject to enforcement actions, fines, loss of licenses and possibly restrictions on our ability to operate or offer certain of our products. Any enforcement action by the competent authorities, which may be a public process, would hurt our reputation in the industry, possibly impair our ability to sell our products to customers and could adversely affect our business, results of operations and financial condition.</w:t>
      </w:r>
    </w:p>
    <w:p>
      <w:pPr>
        <w:spacing w:after="0" w:line="15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 Any of the foregoing could adversely affect our business, results of operations and financial condition. For example, the Notice on the Internet Access Service provides that a company possessing the corresponding telecommunications business operation license should deploy the IDC engine room and server and provide ISP access services in the local place covered under its license. We may be ordered to rectify our illegal activities, subject to confiscation of illegal gains, fines or business suspension, or may be required to obtain additional license or approvals, and we cannot assure you that we will be able to timely obtain or maintain all the required licenses or approvals or make all the necessary filings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Activities of our customers or the content of their websites and other internet properties could subject us to liability.</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Through our network, we provide a wide variety of products that enable our customers to exchange information, conduct business, and engage in various online activities both domestically and internationally. Our customers may use our platform and products in violation of applicable law or in violation of our terms of service or the customer’s own policies. The existing laws relating to the liability of providers of online products and services for activities of their users are highly unsettled and in flux both within China and internationally. We are currently and, in the future, may be subject to lawsuits and/or liability arising from the conduct of our customers. Additionally, the conduct of our customers may subject us to regulatory enforcement actions and/or liability. We may be a defendant in a number of lawsuits both in China and abroad, alleging copyright infringement based 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content that is made available through our customers’ websites. There can be no assurance that we will not face litigation in the future or that we will prevail in any litigation we may face. An adverse decision in one or more of these lawsuits could materially and adversely affect our business, results of operations, and financial condition.</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Litigations may subject us to claims arising from activities of our customers and content on their websites for large potential damages based on a significant number of online occurrences under statutory or other damage theories. Such claims may result in liability that exceeds our ability to pay. Even if claims against us are ultimately unsuccessful, defending against such claims will increase our legal expenses and divert management’s attention from the operation of our business, which could materially and adversely impact our business and results of operations.</w:t>
      </w:r>
    </w:p>
    <w:p>
      <w:pPr>
        <w:spacing w:after="0" w:line="17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Policies and laws in this area remain highly dynamic, and we may face additional theories of intermediary liability in various jurisdictions. For example, the European Union (the EU) recently approved a copyright directive that will impose additional obligations on online platforms and failure to comply could give rise to significant liability. Other new laws like this, may also expose internet companies to significant liability. We may incur additional costs to comply with these new laws, which may have an adverse effect on our business, results of operations, and financial condition.</w:t>
      </w:r>
    </w:p>
    <w:p>
      <w:pPr>
        <w:spacing w:after="0" w:line="2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6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business is subject to regulation by various governmental agencies in China, including agencies responsible for monitoring and enforcing compliance with various legal obligations, such as value-added telecommunication laws and regulations, privacy and data protection-related laws and regulations, intellectual property laws, employment and labor laws, workplace safety, environmental laws, consumer protection laws, governmental trade laws, import and export controls, anti-corruption and anti-bribery laws, and tax laws and regulations. In certain jurisdictions, these regulatory requirements may be more stringent than in China. These laws and regulations impose added costs on our business. Noncompliance with applicable regulations or requirements could subject us to:</w:t>
      </w:r>
    </w:p>
    <w:p>
      <w:pPr>
        <w:spacing w:after="0" w:line="98"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mandatory changes to our network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obtain, maintain or renew certain licenses, approvals, permits, registrations or filings necessary to conduct our operations;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temporary or permanent debarment from sales to public service organizations.</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our management’s attention and resources and an increase in professional fees. Enforcement actions and sanctions could materially harm our business, results of operations, and financial condition.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fields also could raise a number of new regulatory issues. These factors could negatively affect our business and results of operations in material ways.</w:t>
      </w:r>
    </w:p>
    <w:p>
      <w:pPr>
        <w:spacing w:after="0" w:line="17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Moreover, we are exposed to the risk of misconduct, errors and failure to functions by our management, employees and parties that we collaborate with, who may from time to time be subject to litigation and regulatory investigations and proceedings or otherwise face potential liability and penalties in relation to noncompliance with applicable laws and regulations, which could harm our reputation and business.</w:t>
      </w:r>
    </w:p>
    <w:p>
      <w:pPr>
        <w:spacing w:after="0" w:line="273"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We may in the future be subject to legal proceedings and litigation, including intellectual property disputes, which are costly and may subject us to significant liability and increased costs of doing business. Our business may be adversely affected if it is alleged or determined that our technology infringes the intellectual property rights of others.</w:t>
      </w:r>
    </w:p>
    <w:p>
      <w:pPr>
        <w:spacing w:after="0" w:line="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cloud service industry is characterized by the existence of a large number of patents, copyrights, trademarks, trade secrets, and other intellectual property rights. Companies in the cloud service industry are often required to defend against litigation claims based on allegations of infringement or other violations of intellectual property rights. Our technologies may not be able to withstand any third-party claims or rights against their use. In addition, many of these companies have the capability to dedicate substantially greater resources to enforce their intellectual property rights and to defend claims that may be brought against them. Any litigation may also involve patent holding companies or other adverse patent owners that have no relevant product revenues and against which our patents may therefore provide little or no deterrence. If a third party is able to obtain an injunction preventing us from accessing such third-party intellectual property rights, or if we cannot obtain license or develop technology for any infringing aspect of our business, we would be forced to limit or stop selling products impacted by the claim or injunction or cease business activities covered by such intellectual property, and may be unable to compete effectively. Any inability to obtain license of third-party technology in the future would have an adverse effect on our business or operating results, and would adversely affect our ability to compete. We may also be contractually obligated to indemnify our customers in the event of infringement of a third party’s intellectual property rights. We may receive demands for such indemnification from time to time. Responding to such claims, including those currently pending, regardless of their merit, can be time-consuming, costly to defend in litigation, and damage our reputation and brand.</w:t>
      </w:r>
    </w:p>
    <w:p>
      <w:pPr>
        <w:spacing w:after="0" w:line="18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Lawsuits are time-consuming and expensive to resolve and they divert management’s time and attention. We may not have insurance to cover potential claims of this type or to indemnify us for all liability that may be imposed. We cannot predict the outcome of lawsuits, and the results of any such actions may harm our business.</w:t>
      </w: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6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Our success depends, in part, on our ability to protect our brand and the proprietary methods and technologies that we develop under patent and other intellectual property laws in China and foreign jurisdictions so that we can prevent others from using our inventions and proprietary information. As of the date of this prospectus, we have registered 100 patents, 167 trademarks, 192 copyrights, and 117 domain names in China and overseas. See “Business—Intellectual Property.” There can be no assurance that any patents that have been issued or that may be issued in the future will provide significant protection for our intellectual property. If we fail to protect our intellectual property rights adequately, our competitors might gain access to our technology and our business, results of operations and financial condition may be adversely affected.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20" w:lineRule="exact"/>
        <w:rPr>
          <w:sz w:val="20"/>
          <w:szCs w:val="20"/>
          <w:color w:val="auto"/>
        </w:rPr>
      </w:pPr>
      <w:r>
        <w:rPr>
          <w:rFonts w:ascii="Arial" w:cs="Arial" w:eastAsia="Arial" w:hAnsi="Arial"/>
          <w:sz w:val="17"/>
          <w:szCs w:val="17"/>
          <w:color w:val="auto"/>
        </w:rPr>
        <w:t>We have obtained license from Kingsoft Group to use some of its registered trademarks during their terms of registration, including “</w:t>
      </w:r>
      <w:r>
        <w:rPr>
          <w:rFonts w:ascii="SimSun" w:cs="SimSun" w:eastAsia="SimSun" w:hAnsi="SimSun"/>
          <w:sz w:val="15"/>
          <w:szCs w:val="15"/>
          <w:color w:val="auto"/>
        </w:rPr>
        <w:t>金山云</w:t>
      </w:r>
      <w:r>
        <w:rPr>
          <w:rFonts w:ascii="Arial" w:cs="Arial" w:eastAsia="Arial" w:hAnsi="Arial"/>
          <w:sz w:val="17"/>
          <w:szCs w:val="17"/>
          <w:color w:val="auto"/>
        </w:rPr>
        <w:t>” and “Kingsoft Cloud,” and some of its trademarks, which are still in the process of registration applications, during the period of such applications and the term of the registrations if such trademarks have been registered afterwards. We have also obtained license from Kingsoft Group to use some of its registered patents during their terms of registration. See “Related Party Transactions — Transactions with Kingsoft Group.” However, we cannot assure you that Kingsoft Group will continue to authorize us to use the trademarks and patents, and if they do not, our business may be materially and adversely impacted. For example, if we are not authorized by Kingsoft Group to use such trademarks, we may not be able to use the relevant brand names and domain names, which may materially harm our market awareness and brand recognition.</w:t>
      </w:r>
    </w:p>
    <w:p>
      <w:pPr>
        <w:spacing w:after="0" w:line="20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There can be no assurance that the particular forms of intellectual property protection that we seek, including business decisions about when to file trademark applications and patent applications, will be adequate to protect our business. We may have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81"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We also rely, in part, on confidentiality agreements and non-compete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 us lacking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In addition, to the extent we expand our international activities, our exposure to unauthorized copying, transfer and use of our proprietary technology or information may increase.</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impairment of our long-lived assets could materially impact our financial position and results of our operations.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have recorded a significant amount of long-lived assets, primarily including our property and equipment. We evaluate our long-lived assets for impairment whenever events or changes in circumstances, such as a significant adverse change to market conditions that will impact the future use of the assets, indicate that the carrying amount of an asset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we recognize an impairment loss based on the excess of the carrying amount of the assets over their fair value. The application of long-lived asset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impairment test requires significant management judgment. If our estimates and judgments are inaccurate, the fair value determined could be inaccurate and the impairment may not be adequate, and we may need to record additional impairments in the future. We did not record any impairment of our long-lived assets in 2017, 2018 and 2019. However, we may record impairments on long-lived assets in the future. Any significant impairment losses charged against our long-lived assets could have a material adverse effect on our results of operations.</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and key metrics, making it difficult to project future results, and if we fail to meet the expectations of securities analysts or investors, our ADSs price and the value of your investment could decline.</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operating results, as well as our key metrics have fluctuated in the past and are expected to fluctuate in the future due to a variety of factors, many of which are outside of our control. As a result, our past results may not be indicative of our future performance and period-to-period comparisons of our operating results and key metrics may not be meaningful. In addition to the other risks described herein, factors that may affect our operating results include the following:</w:t>
      </w:r>
    </w:p>
    <w:p>
      <w:pPr>
        <w:spacing w:after="0" w:line="9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usage of our products by our customers, which is directly related to the amount of revenues that we recognize from our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fluctuations in customer delays in purchasing decisions in anticipation of new products or product enhancements by us or our competitors;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customer payments and any difficulty in collecting accounts receivable from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and existing customers choosing our competitors’ products or developing their own products in-house;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new functionality of our existing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share-based compensation, impairment of long-lived assets, and other non-cash charges;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acquisitions or other strategic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 connection with acquisitions or other strategic transactions;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maintain our relationship with business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platform;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of the foregoing and other factors may cause our results of operations to vary significantly. If our quarterly results of operations fall below the expectations of investors and securities analysts who follow our shares, the price of our ADSs could decline substantially, and our business could be harmed.</w:t>
      </w:r>
    </w:p>
    <w:p>
      <w:pPr>
        <w:spacing w:after="0" w:line="292"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that may not prove to be accurate. The variables that go into the calculation of our market opportunities are subject to change over time, and there is no guarantee that any particular number or percentage of addressable companies covered by our market opportunities estimates will purchase our products and solutions at all or generate any particular level of revenues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While appreciating approximately by 6% against the U.S. dollar in 2017, the Renminbi in 2018 depreciated approximately by 5% against the U.S. dollar. Since October 1, 2016, the RMB has joined the International Monetary Fund’s basket of currencies that make up the Special Drawing Right, along with the U.S. dollar, the Euro, the Japanese yen and the British pound. With the development of the foreign exchange market and progress toward interest rate liberalization and Renminbi internationalization, the PRC government may in the future announce further changes to the exchange rate system and there is no guarantee that the RMB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7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Substantially all of our revenues and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we receive from this offering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ADSs or for other business purposes, appreciation of the U.S. dollar against the Renminbi would have a negative effect on the U.S. dollar amount.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We have granted, and may continue to grant, share-based awards, and our share-based awards are subject to accelerated vesting upon a public offering, which will increase our share-based compensation and may have an adverse effect on our results of operations.</w:t>
      </w:r>
    </w:p>
    <w:p>
      <w:pPr>
        <w:spacing w:after="0" w:line="1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have adopted various equity incentive plans, including a share option scheme adopted in February 2013 (as amended in June 2013, May 2015 and December 2016), or the 2013 Share Option Scheme, and a share award scheme adopted in February 2013 (as amended in January 2015, March 2016, June 2016, December 2018 and November 2019), or the 2013 Share Award Scheme. We account for compensation costs for all share-based awards using a fair-value based method and recognize expenses in our consolidated statements of comprehensive loss in accordance with U.S. GAAP. The maximum aggregate number of shares that we are authorized to issue pursuant to the 2013 Share Option Scheme is 209,750,000. The maximum aggregate number of shares that we are authorized to issue pursuant to the 2013 Share Award Scheme is 215,376,304 shares. As of the date of this prospectus, options to purchase a total of 126,754,000 ordinary shares, and 123,972,000 awards, have been granted and are outstanding, under such plans. An aggregate of 9,400,000 share awards are subject to accelerated vesting and will become outstanding ordinary shares upon the completion of this offering, and there will be 114,572,000 share awards granted and outstanding under such plans upon the completion of this offering. In 2017, 2018 and 2019, we recorded RMB91.0 million, RMB46.9 million and RMB121.3 million (US$17.4 million), respectively, in share-based compensation expenses. We will recognize a one-time share-based compensation expense of approximately RMB88.6 million (US$12.7 million) for share-based awards subject to accelerated vesting upon the completion of this offering. We believe the granting of share-based awards is of significant importance to our ability to attract and retain key personnel and employees, and we will continue to grant share-based awards in the future. As a result, our expenses associated with share-based compensation will increase, which may have an adverse effect on our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labor costs in the PRC may adversely affect our business and results of operations.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China’s economy has experienced increases in labor costs in recent years. China’s overall economy and the average wage in China are expected to continue to grow. The average wage level for our employees has also increased in recent years. We expect that our staff costs, including wages and employee benefits, will continue to increase. Unless we are able to pass on these increased labor costs to our customers by increasing prices for our products or services, our profitability and results of operations may be materially and adversely affected.</w:t>
      </w:r>
    </w:p>
    <w:p>
      <w:pPr>
        <w:spacing w:after="0" w:line="17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Compared with its predecessors, the current Labor Contract Law of the PRC imposes stricter requirements on employers in terms of signing labor contracts, minimum wages, paying remuneration, determining the term of employees’ probation and unilaterally terminating labor contracts, further increasing our labor-related costs such as by limiting our ability to terminate some of our employees or otherwise change our employment or labor practices in a cost-effective manner. In addition, as the interpretation and implementation of labor-related laws and regulations are still developing, we cannot assure you that our employment practices have been or will at all times be deemed in compliance with the labor-related laws and regulations in China. If we are subject to severe penalties in connection with labor disputes or government investigations, our business, financial condition and results of operations will be adversely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 which may adversely affect our business.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lease real properties for our office and other uses in China. Some of the ownership certificates or other similar proofs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As of the date of this prospectus, we are not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which event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176"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lease agreements for some of our leased properties have not been registered with the PRC governmental authorities as required by the PRC laws.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our lease agreements that have not been registered with the relevant PRC governmental authorities.</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of the date of this prospectus, we are not aware of any regulatory or governmental actions, claims or investigations being contemplated or any challenges by third parties to our use of our leased properties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currently do not have any business insurance coverage.</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Insurance companies in China currently do not offer as extensive an array of insurance products as insurance companies in more developed economies. Currently, we do not have any business liability or disruption insurance to cover our operations, which is a general market practice in cloud service industry.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required to change our registered address or relocate our operating offices under PRC law.</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Under PRC law, the registered address of a company shall be its main premises for business operations. If a company intends to set up other premises for business operation outside its registered address, the company shall register those premises for business operation as branch offices with the relevant local market regulation authorities at the place where the premises are located and obtain business licenses for them as branch offices.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Currently, some of our subsidiaries have set up premises for business operations outside their registered addresses as the operating addresses, and use these premises as the main premises for business operations. We may not be able to change the registered address of our subsidiaries to its operating addresses or register such premises as branch offices in a timely manner or at all due to complex procedural requirements and relocation of branch offices from time to time. In the future, we may expand our business to additional locations in China and we may fail to update the registered address for our subsidiaries or register those premises as branch offices in a timely manner. If the PRC regulatory authorities determine that we are in violation of the relevant laws and regulations, we may be subject to penalties, including but not limited to fines, being listed on the List of Enterprises with Serious Illegal and Dishonest Acts and publicized to the public. As of the date of this prospectus, we have not received any regulatory or governmental penalties in relation to the registered address of our subsidiaries. If we become subject to these penalties, our business, results of operations, financial condition and prospects could be materially and adversely affected.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RELATIONSHIPS WITH KINGSOFT GROUP AND XIAOMI</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are no longer able to benefit from our business cooperation with Kingsoft Group or Xiaomi and its ecosystem, our business may be adversely affected.</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Kingsoft Group, our major shareholder, is a leading software company in China. Mr. Jun Lei, our chairman of the Board, exercises significant influence over Kingsoft Group as he currently serves the chairman of the board and a non-executive director of Kingsoft Group and is deemed to be interested in 25.7% of total issued shares in Kingsoft Group. Xiaomi, another major shareholder of our company and controlled by Mr. Jun Lei, is a leading internet company providing smartphones and smart hardware connected by an IoT platform. Our business has benefited from Kingsoft Group’s and Xiaomi’s brand names, strong market positions and ecosystems. We cooperate with Kingsoft Group and Xiaomi in various areas, such as cross-referrals and devices for AIoT solutions. We cannot assure you that we will be able to continue to benefit from our relationships with Kingsoft Group and Xiaomi in the future. To the extent that we cannot maintain our relationships with Kingsoft Group and Xiaomi on terms favorable to us, or at all, we will need to find replacement for services and device providers, which may not be done in a timely manner and/or on commercially reasonable terms, or at all, and we may lose access to key strategic assets, which could result in material and adverse effects on our business and results of operations.</w:t>
      </w:r>
    </w:p>
    <w:p>
      <w:pPr>
        <w:spacing w:after="0" w:line="274"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Kingsoft Group and Xiaomi are our existing customers, from which we received a portion of revenues. Failure to maintain the relationships with them would result in lower revenues and could adversely impact our business, operation results and financial conditions.</w:t>
      </w:r>
    </w:p>
    <w:p>
      <w:pPr>
        <w:spacing w:after="0" w:line="1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have derived, and believe that we will continue to derive, a portion of our revenues from Kingsoft Group and Xiaomi. Revenues from Kingsoft Group in the aggregate accounted for 4.0%, 3.5% and 2.8% of our total revenues in 2017, 2018 and 2019, respectively. Revenues from Xiaomi in the aggregate accounted for 27.0%, 24.6% and 14.4% of our total revenues in 2017, 2018 and 2019, respectively. We cannot assure you that we will be able to maintain the customer relationships with Kingsoft Group and Xiaomi in the future. Any failure to maintain close relationships with them will result in declines in our revenues, which could have an adverse effect on our business, results of operations and financial condition.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operating as a stand-alone public company.</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have no experience conducting our operations as a stand-alone public company. After we become a stand-alone public company upon the completion of this offering, we will face enhanced administrative and compliance requirements, which may result in substantial costs. In addition, since we are becoming a public company, our management team will need to develop the expertise necessary to comply with the regulatory and other requirements applicable to public companies, including those relating to corporate governance, internal control, listing standards, and investor relations issues. We cannot guarantee that we will be able to do so in a timely and effective manner.</w:t>
      </w:r>
    </w:p>
    <w:p>
      <w:pPr>
        <w:spacing w:after="0" w:line="2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Any negative developments in Kingsoft Group’s or Xiaomi’s market position, brand recognition or financial condition may materially and adversely affect our reputation, business, results of operations and financial condition.</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benefited, and expect to continue to benefit, significantly from Kingsoft Group’s and Xiaomi’s strong brand recognitions, which enhance our reputation and credibility. Any negative publicity associated with Kingsoft Group or Xiaomi, or any negative development with respect to their market positions, financial conditions or compliance with applicable legal or regulatory requirements will likely have an adverse impact on our reputation and brand. If Kingsoft Group’s or Xiaomi’s market position weakens, the effectiveness of our sales and marketing through them may be impaired, which may in turn have a negative impact on our business, financial condition and results of operations. See “Related Party Transactions” for more information about our related party transactions with Kingsoft Group and Xiaomi.</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Certain existing shareholders have substantial influence over our company and their interests may not be aligned with the interests of our other shareholders.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Two of our principal shareholders, Kingsoft Group and Xiaomi, are our affiliates and have substantial influence over our company. Upon the completion of this offering and without taking into account of their subscription in this offering, if any, Kingsoft Group will beneficially own 46.8% of our outstanding shares and Xiaomi will beneficially own 13.8% of our outstanding shares. Mr. Jun Lei, one of our directors, also serves as the chairman and a non-executive director at Kingsoft Group, and serves as the chairman, the chief executive officer and the executive director at Xiaomi. Mr. Tao Zou, one of our directors, also serves as an executive director and the chief executive officer at Kingsoft Group. Mr. Shou Zi Chew, one of our directors, also serves as the president of international, executive director and the chief financial officer at Xiaomi. Upon the completion of this offering and without taking into account of their subscription in this offering, if any, Mr. Jun Lei, Mr. Tao Zou and Mr. Shou Zi Chew together will beneficially own an aggregate of 13.8% of our outstanding shares. As of the date of this prospectus, none of our other directors or executive officers holds any position at Kingsoft Group or Xiaomi.</w:t>
      </w:r>
    </w:p>
    <w:p>
      <w:pPr>
        <w:spacing w:after="0" w:line="18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They may take actions that are not in the best interest of us or our other shareholders and conflicts of interest between them and us may arise as a result of their operation of or investment in businesses that compete with us. Such concentration of ownership and corporate governance mechanism may discourage, delay or prevent a change in control of our company, which could deprive our shareholders of a premium for their shares as part of a sale of our company and may reduce the price of the ADSs. These actions may be taken even if they are opposed by our other shareholders, including those who purchase ADSs in this offering. In addition, such significant concentration of share ownership and corporate governance mechanism may adversely affect the trading price of the ADSs due to investors’ perception that conflicts of interest may exist or arise. For more information regarding Kingsoft Group and Xiaomi, see “Principal Shareholders.”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have conflicts of interest with Kingsoft Group or Xiaomi and we may not be able to resolve such conflicts on terms favorable to us.</w:t>
      </w:r>
    </w:p>
    <w:p>
      <w:pPr>
        <w:spacing w:after="0" w:line="14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Conflicts of interest may arise between Kingsoft Group or Xiaomi and us in a number of areas relating to our ongoing relationships. Potential conflicts of interest that we have identified mainly include the following:</w:t>
      </w:r>
    </w:p>
    <w:p>
      <w:pPr>
        <w:spacing w:after="0" w:line="76" w:lineRule="exact"/>
        <w:rPr>
          <w:sz w:val="20"/>
          <w:szCs w:val="20"/>
          <w:color w:val="auto"/>
        </w:rPr>
      </w:pPr>
    </w:p>
    <w:p>
      <w:pPr>
        <w:ind w:left="1080" w:right="4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 with Kingsoft Group and Xiaomi. We have a number of cooperation arrangements with Kingsoft Group and Xiaomi, respectively. These collaboration arrangements may be less favorable to us than similar arrangements negotiated between unaffiliated third parties.</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business opportunities. There may arise business opportunities in the future that both we, Kingsoft Group and Xiaomi are interested in and which may complement each of our respective businesses. Kingsoft Group and Xiaomi hold a large number of business interests, some of which may directly or indirectly compete with us. Kingsoft Group and Xiaomi may decide to take up business opportunities itself, which would prevent us from taking advantage of those opportunities.</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 of shares in our company. Subject to its lock-up arrangements with us and the underwriters in this offering and applicable securities laws, Kingsoft Group or Xiaomi may decide to sell all or a portion of the shares that they hold in our company to a third party, including to one of our competitors, thereby giving that third party substantial influence over our business and our affairs. Such a sale could be contrary to the interests of our employees or our other shareholders or holders of the ADSs.</w:t>
      </w:r>
    </w:p>
    <w:p>
      <w:pPr>
        <w:spacing w:after="0" w:line="76"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business relationships with Kingsoft Group’s and Xiaomi’s competitors. We may be limited in our ability to do business with Kingsoft Group’s and Xiaomi’s competitors, which may limit our ability to serve the best interests of our company and our other shareholders or holders of the ADSs.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directors may have conflicts of interest. Certain of our directors are also employees of Kingsoft Group or Xiaomi. These relationships could create, or appear to create, conflicts of interest when these persons are faced with decisions with potentially different implications for Kingsoft Group, Xiaomi and 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Kingsoft Group and Xiaomi may from time to time make strategic decisions that they believe are in the best interests of their businesses, which may be different from the decisions that we would have made on our own. Kingsoft Group’s and Xiaomi’s decisions with respect to us or our business may favor Kingsoft Group and Xiaomi and therefore the Kingsoft Group and Xiaomi shareholders, which may not necessarily be aligned with our interests and the interests of our other shareholders. Kingsoft Group and Xiaomi may make decisions that may disrupt or discontinue our collaborations with Kingsoft Group and Xiaomi. If Kingsoft Group and Xiaomi were to compete with us, our business, financial condition, results of operations and prospects could be materially and adversely affected. Although we will become a stand-alone public company upon the completion of this offering and will have an audit committee, consisting of independent non-executive directors, to review and approve all proposed related party transactions, including those between Kingsoft Group or Xiaomi and us, we may not be able to resolve all potential conflicts of interest, and even if we do so, the resolution may be less favorable to us than if we were dealing with a non-controlling shareholder.</w:t>
      </w:r>
    </w:p>
    <w:p>
      <w:pPr>
        <w:spacing w:after="0" w:line="28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There might be discrepancies between our continuing disclosures on our financial and operating results and those of Kingsoft Group due to differences in accounting policies and data consolidation on the group level.</w:t>
      </w:r>
    </w:p>
    <w:p>
      <w:pPr>
        <w:spacing w:after="0" w:line="6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a listed company on the Stock Exchange of Hong Kong, Kingsoft Group has been required to disclose its consolidated financial results. As a subsidiary controlled by and an important business unit of Kingsoft Group, our historical financial results have been included in the consolidated financial statements of Kingsoft Group under IFRS since our inception. The financial results disclosed in this prospectus and those to be disclosed or to be furnished to SEC after the completion of this offering are prepared in accordance with U.S. GAAP and may not be consistent with Kingsoft Group’s financial statements due to different accounting policies.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Foreign investment in the value-added telecommunication services industry in China is extensively regulated and subject to numerous restrictions. Pursuant to the list of special management measures for the market entry of foreign investment, or the 2019 Negative List, published by the National Development and Reform Commission and the Ministry of Commerce on June 30, 2019 and effective on July 30, 2019, with a few exceptions, foreign investors are not allowed to own more than 50% of the equity interests in a value-added telecommunication services provider and any primary foreign investor must have experience in providing value-added telecommunications services overseas and maintain a good track record.</w:t>
      </w:r>
    </w:p>
    <w:p>
      <w:pPr>
        <w:spacing w:after="0" w:line="16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are a Cayman Islands company and our wholly-owned PRC subsidiaries are currently considered as foreign-invested enterprises. Accordingly, our PRC subsidiaries are not eligible to provide value-added telecommunication services in China. To ensure strict compliance with the PRC laws and regulations, we conduct such business activities through Zhuhai Kingsoft Cloud and Kingsoft Cloud Information, our VIEs. We have entered into a series of contractual arrangements with our VIEs and their shareholders, which enable us to (i) exercise effective control over our VIEs, (ii) receive substantially all of the economic benefits and absorb substantially all of the economic losses of our VIEs, and (iii) have an exclusive option to purchase all or part of the equity interests and assets in our VIEs when and to the extent permitted by PRC law. As a result of these contractual arrangements, we have control over and are the primary beneficiary of our VIEs and hence consolidate their financial results as our VIEs under U.S. GAAP. See “Corporate History and Structure” for further details.</w:t>
      </w:r>
    </w:p>
    <w:p>
      <w:pPr>
        <w:spacing w:after="0" w:line="17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If the PRC government finds that our contractual arrangements do not comply with its restrictions on foreign investment in the value-added telecommunication services, or if the PRC government otherwise finds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that we, our VIEs, or any of their subsidiaries are in violation of PRC laws or regulations or lack the necessary permits or licenses to operate our business, the relevant PRC regulatory authorities, including the MIIT and SAMR, would have broad discretion in dealing with such violations or failures, including, without limitation:</w:t>
      </w:r>
    </w:p>
    <w:p>
      <w:pPr>
        <w:spacing w:after="0" w:line="8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our operation through any transactions between our PRC subsidiaries and our VIEs;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subsidiaries or our VIEs, or imposing other requirements with which our PRC subsidiaries or our VIEs may not be able to comply;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requiring us to restructure our ownership structure or operations, including terminating the contractual arrangements with our VIEs;</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deregistering the equity pledges of our VIEs, which in turn would affect our ability to consolidate, derive economic interests from, or exert effective control over our VIEs;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VIEs that most significantly impact its economic performance and/or our failure to receive the economic benefits from our VIEs, we may not be able to consolidate the VIEs in our consolidated financial statements in accordance with U.S. GAAP.</w:t>
      </w:r>
    </w:p>
    <w:p>
      <w:pPr>
        <w:spacing w:after="0" w:line="27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Uncertainties exist with respect to the interpretation and implementation of the newly enacted Foreign Investment Law and its implementing rules and how they may impact our business, financial condition and results of operations.</w:t>
      </w:r>
    </w:p>
    <w:p>
      <w:pPr>
        <w:spacing w:after="0" w:line="62"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The variable interest entity structure has been adopted by many PRC-based companies, including us, to obtain necessary licenses and permits in the industries that are currently subject to foreign investment restrictions in China. The Ministry of Commerce published a discussion draft of the proposed Foreign Investment Law in January 2015, or the 2015 Draft FIL, according to which, variable interest entities that are controlled via contractual arrangements would also be deemed as foreign-invested entities, if they are ultimately “controlled” by foreign investors. In March 2019, the PRC National People’s Congress promulgated the Foreign Investment Law, and in December 2019, the State Council promulgated the Implementing Rules of the Foreign Investment Law of the People’s Republic of China, or the Implementing Rules, to further clarify and elaborate the relevant provisions of the Foreign Investment Law. The Foreign Investment Law and the Implementing Rules both became effective from January 1, 2020 and replaced the major existing laws and regulations governing foreign investment in the PRC.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w:t>
      </w:r>
    </w:p>
    <w:p>
      <w:pPr>
        <w:spacing w:after="0" w:line="3" w:lineRule="exact"/>
        <w:rPr>
          <w:sz w:val="20"/>
          <w:szCs w:val="20"/>
          <w:color w:val="auto"/>
        </w:rPr>
      </w:pPr>
    </w:p>
    <w:p>
      <w:pPr>
        <w:ind w:left="120" w:right="80" w:hanging="4"/>
        <w:spacing w:after="0" w:line="252" w:lineRule="auto"/>
        <w:tabs>
          <w:tab w:leader="none" w:pos="4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in other methods as specified in laws, administrative regulations, or as stipulated by the State Council. The Foreign Investment Law and the Implementing Rules do not introduce the concept of “control” in determining whether a company would be considered as a foreign-invested enterprise, nor do they explicitly provide whether the variable interest entity structure would be deemed as a method of foreign investment. However, the Foreign Investment Law has a catch-all provision that includes into the definition of “foreign investments” made by foreign investors in China in other methods as specified in laws, administrative regulations, or as stipulated by the State Council, and as the Foreign Investment Law and the Implementing Rules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are newly adopted and relevant government authorities may promulgate more laws, regulations or rules on the interpretation and implementation of the Foreign Investment Law, the possibility cannot be ruled out that the concept of “control” as stated in the 2015 Draft FIL may be embodied in, or the variable interest entity structure adopted by us may be deemed as a method of foreign investment by, any of such future laws, regulations and rules. If our consolidated VIEs were deemed as a foreign-invested enterprise under any of such future laws, regulations and rules, and any of the businesses that we operate would be in the “negative list” for foreign investment and therefore be subject to foreign investment restrictions or prohibitions, further actions required to be taken by us under such laws, regulations and rules may materially and adversely affect our business, financial condition and results of operations. Furthermore, if future laws, administrative regulations or rules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business, financial condition and results of operations.</w:t>
      </w:r>
    </w:p>
    <w:p>
      <w:pPr>
        <w:spacing w:after="0" w:line="2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VIEs and their respective shareholders for a large portion of our business operations, which may not be as effective as direct ownership in providing operational control.</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relied and expect to continue to rely on contractual arrangements with Zhuhai Kingsoft Cloud and Kingsoft Cloud Information and their respective shareholders to operate our business in China. These contractual arrangements may not be as effective as direct ownership in providing us with control over our VIEs. For example, our VIEs and their respective shareholders could breach their contractual arrangements with us by, among other things, failing to conduct their operations in an acceptable manner or taking other actions that are detrimental to our interests. The revenues contributed by our VIEs and their subsidiaries constituted substantially all of our revenues in 2017, 2018 and 2019. If our VIEs cease to transfer economic benefits to us, our business, results of operations and financial condition would be materially and adversely affected, and the price of our ADSs may decline significantly.</w:t>
      </w:r>
    </w:p>
    <w:p>
      <w:pPr>
        <w:spacing w:after="0" w:line="19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If we had direct ownership of our VIEs, we would be able to exercise our rights as a shareholder to effect changes in the board of directors of our VIEs, which in turn could implement changes, subject to any applicable fiduciary obligations, at the management and operational level. However, under the current contractual arrangements, we rely on the performance by our VIEs and their respective shareholders of their respective obligations under the contracts to exercise control over our VIEs. The shareholders of our VIEs may not act in the best interests of our company or may not perform their obligations under these contracts. Such risks exist throughout the period in which we intend to operate a certain portion of our business through the contractual arrangements with our VIEs and their respective shareholders. If any dispute relating to these contracts remains unresolved, we will have to enforce our rights under these contracts through the operations of PRC law and arbitration, litigation or other legal proceedings and therefore will be subject to uncertainties in the PRC legal system. See “—Any failure by our VIEs or their respective shareholders to perform their obligations under our contractual arrangements with them would have a material and adverse effect on our business.” Therefore, our contractual arrangements with our VIEs and their respective shareholders may not be as effective in controlling our business operations as direct ownership.</w:t>
      </w:r>
    </w:p>
    <w:p>
      <w:pPr>
        <w:spacing w:after="0" w:line="2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Any failure by our VIEs or their respective shareholders to perform their obligations under our contractual arrangements with them would have a material and adverse effect on our business.</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our VIEs or their respective shareholders fail to perform their respective obligations under the contractual arrangements, we could be limited in our ability to enforce the contractual arrangements that give us effective control over our business operations in the PRC and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example, if the shareholders of our VIEs refuse to transfer their equity interest in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VIEs to our PRC subsidiaries or their designee after we exercise the purchase option pursuant to these contractual arrangements, or if they otherwise act in bad faith or otherwise fail to fulfill their contractual obligations, we may have to take legal actions to compel them to perform their contractual obligations. In addition, if there are any disputes or governmental proceedings involving any interest in such shareholders’ equity interests in our VIEs, our ability to exercise shareholders’ rights or foreclose the share pledges according to the contractual arrangements may be impaired. If these disputes or proceedings were to impair our control over our VIEs, we may not be able to maintain effective control over our business operations in the PRC and thus would not be able to continue to consolidate our VIEs’ financial results, which would in turn result in a material adverse effect on our business, operations and financial condition.</w:t>
      </w:r>
    </w:p>
    <w:p>
      <w:pPr>
        <w:spacing w:after="0" w:line="30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Our contractual arrangements are governed by PRC law. Accordingly, these contracts would be interpreted in accordance with PRC law, and any disputes would be resolved in accordance with PRC legal procedures, which may not protect you as much as those of other jurisdictions, such as the United States.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our VIEs, and our ability to conduct our business may be negatively affected. See “—Risks Relating to Doing Business in China—Uncertainties with respect to the PRC legal system could materially and adversely affect us.”</w:t>
      </w:r>
    </w:p>
    <w:p>
      <w:pPr>
        <w:spacing w:after="0" w:line="2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shareholders of our VIEs may have actual or potential conflicts of interest with us, which may materially and adversely affect our business and financial condition.</w:t>
      </w:r>
    </w:p>
    <w:p>
      <w:pPr>
        <w:spacing w:after="0" w:line="6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shareholders of our VIEs may have actual or potential conflicts of interest with us. These shareholders may not remain as shareholders of our VIEs, or may breach, or cause our VIEs to breach, or refuse to renew, the existing contractual arrangements we have with them and our VIEs, which would have a material and adverse effect on our ability to effectively control our VIEs and receive economic benefits from them, which may result in deconsolidation of our VIEs.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274"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b w:val="1"/>
          <w:bCs w:val="1"/>
          <w:i w:val="1"/>
          <w:iCs w:val="1"/>
          <w:color w:val="auto"/>
        </w:rPr>
        <w:t>Contractual arrangements in relation to our VIEs may be subject to scrutiny by the PRC tax authorities and they may determine that we, our subsidiaries or our VIEs owe additional taxes, which could negatively affect our financial condition and the value of your investment.</w:t>
      </w:r>
    </w:p>
    <w:p>
      <w:pPr>
        <w:spacing w:after="0" w:line="1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Under applicable PRC laws and regulations, arrangements and transactions among related parties may be subject to audit or challenge by the PRC tax authorities within ten years after the taxable year when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transactions are conducted. We could face material and adverse tax consequences if the PRC tax authorities determine that the contractual arrangements between our VIEs, our subsidiaries and us were not entered into on an arm’s-length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its tax liabilities without reducing our PRC subsidiaries’ tax expenses. In addition, the PRC tax authorities may impose interest and/or other penalties on our VIEs for the adjusted but unpaid taxes according to the applicable regulations. Our financial position could be materially and adversely affected if our VIEs’ tax liabilities increase or if it is required to pay interests and/or other penalties on the adjusted but unpaid taxes.</w:t>
      </w:r>
    </w:p>
    <w:p>
      <w:pPr>
        <w:spacing w:after="0" w:line="274"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b w:val="1"/>
          <w:bCs w:val="1"/>
          <w:i w:val="1"/>
          <w:iCs w:val="1"/>
          <w:color w:val="auto"/>
        </w:rPr>
        <w:t>We may lose the ability to use, or otherwise benefit from, the licenses, approvals and assets held by our VIEs, which could severely disrupt our business, render us unable to conduct some or all of our business operations and constrain our growth.</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part of our contractual arrangements with our VIEs, our VIEs hold certain assets, licenses and permits that are critical to our business operations, including the Value-added Telecommunications Business Operation License and the Online Culture Operating Permit. The contractual arrangements contain terms that specifically obligate our VIEs’ shareholders to ensure the valid existence of the VIEs and restrict the disposal of material assets of the VIEs. However, in the event the VIEs’ shareholders breach the terms of these contractual arrangements and voluntarily liquidate any of our VIEs, or any of our VIEs declares bankruptcy and all or part of its assets become subject to liens or rights of third-party creditors, or are otherwise disposed of or encumbered without our consent, we may be unable to conduct some or all of our business operations or otherwise benefit from the assets held by the VIEs, which could have a material adverse effect on our business, financial condition and results of operations. Furthermore, under the contractual arrangements, our VIEs may not, in any manner, sell, transfer, mortgage or dispose of their material assets or legal or beneficial interests in the business without our prior consent. If any of our VIEs undergoes a voluntary or involuntary liquidation proceeding, its shareholders or unrelated third-party creditors may claim rights to some or all of the assets of the VIEs, thereby hindering our ability to operate our business as well as constrain our growth.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A severe or prolonged downturn in the PRC or global economy could materially and adversely affect our business, results of operations and financial condition.</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global macroeconomic environment is facing challenges, including the economic slowdown in the Eurozone since 2014, potential impact of the United Kingdom’s exit from the European Union on January 31, 2020, and the adverse impact on the global economies and financial markets as the COVID-19 outbreak continues to evolve into a worldwide health crisis in 2020. The growth of the PRC economy has slowed down since 2012 compared to the previous decade and the trend may continue.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and over the conflicts involving Ukraine, Syria and North Korea. There have also been concerns on the relationship among China and other Asian countries, which may result in or intensify potential conflicts in relation to territorial disputes, and the trade disputes between the United States and China. The ongoing trade tensions between the United States and China may have tremendous negative impact on the economies of not merely the two countries concerned, but the global economy as a whole. It is unclear whether these challenges and uncertainties will be contained or resolved, and what effects they may have on the global political and economic conditions in the long term.</w:t>
      </w:r>
    </w:p>
    <w:p>
      <w:pPr>
        <w:spacing w:after="0" w:line="18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Economic conditions in China are sensitive to global economic conditions, changes in domestic economic and political policies, and the expected or perceived overall economic growth rate in China. While the economy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China has grown significantly over the past decades, growth has been uneven, both geographically and among various sectors of the economy, and the rate of growth has been slowing in recent years. Although growth of China’s economy remained relatively stable, there is a possibility that China’s economic growth may materially decline in the near future. Any severe or prolonged slowdown in the global or PRC economy may materially and adversely affect our business, results of operations and financial condition.</w:t>
      </w:r>
    </w:p>
    <w:p>
      <w:pPr>
        <w:spacing w:after="0" w:line="295"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 While the Chinese economy has 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results of operations,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materially and adversely affect us.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under the civil law system may be cited for reference but have limited precedential value.</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PRC legal system is based on written statutes and prior court decisions have limited value as precedents. Since these laws and regulations are relatively new and the PRC legal system continues to rapidly evolve, the interpretations of many laws, regulations and rules may not be uniform and enforcement of these laws, regulations and rules involves uncertainties.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Furthermore, the PRC legal system is based in part on government policies and internal rules, some of which are not published on a timely basis or at all and may have a retroactive effect. As a result, we may not be aware of our violation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any of these policies and rules until sometime after the violation. In addition, any administrative and court proceedings in China may be protracted, resulting in substantial costs and diversion of resources and management attention.</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particular, PRC laws and regulations concerning the cloud service industry are developing and evolving. Although we have taken measures to comply with the laws and regulations that are applicable to our business operations and avoid conducting any non-compliant activities under the applicable laws and regulations, the PRC government authorities may promulgate new laws and regulations regulating the cloud service industry in the future. We cannot assure you that our practice would not be deemed to violate any new PRC laws or regulations relating to cloud services. Moreover, developments in the cloud service industry may lead to changes in PRC laws, regulations and policies or in the interpretation and application of existing laws, regulations and policies that may limit or restrict cloud service market players like us, which could materially and adversely affect our business and operations.</w:t>
      </w:r>
    </w:p>
    <w:p>
      <w:pPr>
        <w:spacing w:after="0" w:line="30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a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Relating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are a Cayman Islands holding company and we rely principally on dividends and other distributions on equity from our PRC subsidiaries for our cash requirements, including for services of any debt we may incur. The ability of our PRC subsidiaries to pay dividends and other distributions on equity, in turn, depends on the payment they receive from our VIEs as service fees pursuant to certain contractual arrangements among our PRC subsidiaries, our VIEs and our VIEs’ shareholders entered into to comply with certain restrictions under PRC law on foreign investment. For more information about such contractual arrangements, see “Corporate History and Structure—Contractual Arrangements with Our VIEs and Their Respective Shareholders.”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our VIEs and their subsidiaries are required to set aside at least 10% of its after-tax profits each year, if any, to fund a statutory reserve until such reserve reaches 50% of each of their registered capitals.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7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To address the persistent capital outflow and the RMB’s depreciation against the U.S. dollar in the fourth quarter of 2016, the People’s Bank of China and the State Administration of Foreign Exchange, or SAFE, have implemented a series of capital control measures in the subsequent months, including stricter vetting procedures for China-based companies to remit foreign currency for overseas acquisitions, dividend payments and shareholder loan repayments. For instance, the Circular on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 board resolutions, original tax filing form and audited financial statements of such domestic enterprise based on the principal of genuine transaction.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addition, the Enterprise Income Tax Law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Pursuant to the tax agreement between Mainland China and the Hong Kong Special Administrative Region, the withholding tax rate in respect to the payment of dividends by a PRC enterprise to a Hong Kong enterprise may be reduced to 5% from a standard rate of 10% if the Hong Kong enterprise directly holds at least 25% of the PRC enterprise. Under administrative guidance,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our Hong Kong subsidiary may be able to benefit from the 5% withholding tax rate for the dividends it receives from our PRC subsidiaries, if it satisfies the conditions prescribed under SAT Circular 81 and other relevant tax rules and regulations. However, if the relevant tax authorities consider the transactions or arrangements we have are for the primary purpose of enjoying a favorable tax treatment, the relevant tax authorities may adjust the favorable withholding tax in the future. Accordingly, there is no assurance that the reduced 5% will apply to dividends received by our Hong Kong subsidiary from our PRC subsidiaries. This withholding tax will reduce the amount of dividends we may receive from our PRC subsidiaries.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62"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authorities.</w:t>
      </w:r>
    </w:p>
    <w:p>
      <w:pPr>
        <w:spacing w:after="0" w:line="124"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VIEs.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8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w:t>
      </w:r>
    </w:p>
    <w:p>
      <w:pPr>
        <w:spacing w:after="0" w:line="4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an offshore holding company conducting our operations in China through our PRC subsidiaries and our VIEs. We may make loans to our PRC subsidiaries and VIEs subject to the approval from governmental authorities and limitation of amount, or we may make additional capital contributions to our PRC subsidiaries in China.</w:t>
      </w:r>
    </w:p>
    <w:p>
      <w:pPr>
        <w:spacing w:after="0" w:line="184"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Any loans to our PRC subsidiaries in China, which are treated as foreign-invested enterprises under PRC law, are subject to PRC regulations and foreign exchange loan registrations. For example, loans by us to our PRC subsidiaries in China to finance their activities cannot exceed statutory limits and must be registered with the local counterpart of SAFE.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subsidiaries, which may adversely affect our liquidity and our ability to fund and expand our business in China.</w:t>
      </w:r>
    </w:p>
    <w:p>
      <w:pPr>
        <w:spacing w:after="0" w:line="16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October 23, 2019, SAFE issued the Circular on Further Promoting Cross-border Trade and Investment Facilitation, or Circular 28, which took effect on the same day. Circular 28, subject to certain conditions, allows foreign-invested enterprises whose business scope does not include investment, or non-investment foreign-invested enterprises, to use their capital funds to make equity investments in China. Since Circular 28 was issued only recently, its interpretation and implementation in practice are still subject to substantial uncertainties.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VIEs or future capital contributions by us to our wholly foreign-owned subsidiaries in China. As a result, uncertainties exist as to our ability to provide prompt financial support to our PRC subsidiaries or VIEs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14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6"/>
          <w:szCs w:val="16"/>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MOFCOM be notified in advance of any change of control transaction in which a foreign investor takes control of a PRC domestic enterprise, if (i) any important industry is concerned,</w:t>
      </w:r>
    </w:p>
    <w:p>
      <w:pPr>
        <w:spacing w:after="0" w:line="1" w:lineRule="exact"/>
        <w:rPr>
          <w:sz w:val="20"/>
          <w:szCs w:val="20"/>
          <w:color w:val="auto"/>
        </w:rPr>
      </w:pPr>
    </w:p>
    <w:p>
      <w:pPr>
        <w:ind w:left="120" w:hanging="4"/>
        <w:spacing w:after="0" w:line="268" w:lineRule="auto"/>
        <w:tabs>
          <w:tab w:leader="none" w:pos="38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such transaction involves factors that have or may have impact on the national economic security, or (iii) such transaction will lead to a change in control of a domestic enterprise which holds a famous trademark or PRC time-honored brand. Moreover, the Anti-Monopoly Law promulgated by the Standing Committee of the NPC which became effective in 2008 requires that transactions which are deemed concentrations and involve parties with specified turnover thresholds must be cleared by the relevant anti-monopoly authority before they can be completed. In addition, PRC national security review rules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competent governmental authority, may delay or inhibit our ability to complete such transactions, which could affect our ability to expand our business or maintain our market share.</w:t>
      </w:r>
    </w:p>
    <w:p>
      <w:pPr>
        <w:spacing w:after="0" w:line="287"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4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9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SAFE Circular 37 requires registration with, and approval from, Chinese government authorities in connection with direct or indirect control of an offshore entity by PRC residents. The term “control” under SAFE Circular 37 is broadly defined as the operation rights, beneficiary rights or decision-making rights acquired by PRC residents in the offshore special purpose vehicles, or SPVs, by means of acquisition, trust, proxy, voting rights, repurchase, convertible bonds or other arrangements.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These regulations may have a significant impact on our present and future structuring and investment. We have requested or intend to take all necessary measures to require our shareholders who to our knowledge are PRC residents to make the necessary applications, filings and amendments as required under these regulations.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Any failure or inability by such individuals or entities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7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7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In addition, SAFE Circular 37 stipulates that PRC residents who participate in a share incentive plan of an overseas non-publicly-listed special purpose company may register with SAFE or its local branches before they obtain the incentive shares or exercise the share options. We and our executive officers and other employees who are PRC citizens or who reside in the PRC for a continuous period of not less than one year and who have been or will be granted incentive shares or options are or will be subject to these regulations. Failure to complete the SAFE registrations may subject them to fines and legal sanctions, and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“Regulation—Regulation Related to Stock Incentive Plans.”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offshore subsidiaries is a PRC resident enterprise for enterprise income tax purposes, our company or the relevant offshore subsidiaries will be subject to PRC enterprise income on its worldwide income at the rate of 25%. Furthermore, if we are treated as a PRC tax resident enterprise, we will be required to withhold a 10% withholding tax from dividends we pay to our shareholders that are non-resident enterprises, including the holders of our ADSs. In addition, non-resident enterprise shareholders (including our ADS holders) may be subject to PRC tax at a rate of 10% on gains realized on the sale or other disposition of ADSs or ordinary shares, if such gain is treated as derived from a PRC source.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our non-PRC shareholders would, in practice, be able to obtain the benefits of any tax treaties between their country of tax residence and the PRC in the event that we are treated as a PRC resident enterprise. Any such tax may reduce the returns on your investment in the ADSs or ordinary shares.</w:t>
      </w:r>
    </w:p>
    <w:p>
      <w:pPr>
        <w:spacing w:after="0" w:line="27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face uncertainty with respect to indirect transfers of equity interests in PRC resident enterprises by their non-PRC holding companies, which may have a material adverse effect on our financial condition and results of operations.</w:t>
      </w:r>
    </w:p>
    <w:p>
      <w:pPr>
        <w:spacing w:after="0" w:line="6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December 10, 2009, the SAT issued the circular of the State Administration of Taxation on Strengthening the Administration of Enterprise Income Tax on Incomes from Equity Transfers of Non-Resident Enterprises, or SAT Circular 698, which came into effect on January 1, 2008. Circular 698 addressed tax treatments on China equities transferred (directly or indirectly) by non-residents. China tax authorities have been empowered to disregard interposed entities if they are considered lack of reasonable commercial purpose and the whole indirect share transaction will be treated as direct share transfer with PRC capital gain tax liabilities arise.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On February 3, 2015, the SAT issued the Public Notice Regarding Certain Corporate Income Tax Matters on Indirect Transfer of Properties by Non-Tax Resident Enterprises, or SAT Bulletin 7, which came into effect on February 3, 2015, but will also apply to cases where their PRC tax treatments are not yet concluded. SAT Bulletin 7 redefines the applicable scope to expand the subject of the indirect share transfers to China taxable assets which includes equity investments in PRC resident enterprises, assets of Chinese establishment and immoveable properties in China.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Where a non-resident enterprise transfers taxable assets in China indirectly by disposing of the equity interests of an overseas holding company, which is an Indirect Transfer, the non-resident enterprise as either transferor or transferee, or the PRC entity whose equity is transferred,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auditor, the independent registered public accounting firm that issues the audit report included elsewhere in this prospectus,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you are deprived of the benefits of such inspection.</w:t>
      </w:r>
    </w:p>
    <w:p>
      <w:pPr>
        <w:spacing w:after="0" w:line="176"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In May 2013, the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the PCAOB, the CSRC or the PRC Ministry of Finance 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United States and the PRC, respectively. The PCAOB continues to be in discussions with the CSRC and the PRC Ministry of Finance to permit joint inspections in the PRC of audit firms that are registered with PCAOB and audit Chinese companies that trade on U.S. exchanges.</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December 7, 2018, the SEC and the PCAOB issued a joint statement highlighting continued challenges faced by the U.S. regulators in their oversight of financial statement audits of U.S.-listed companies with significant operations in China. 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reiterating past SEC and PCAOB statements on matters including the difficulty associated with inspecting accounting firms and audit work papers in China and higher risks of fraud in emerging markets and the difficulty of bringing and enforcing SEC, Department of Justice and other U.S. regulatory actions, including in instances of fraud, in emerging markets generally. However, it remains unclear what further actions, if any, the SEC and the PCAOB will take to address these problems.</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lack of the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192"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such as the Nasdaq of issuers included on the SEC’s list for three consecutive years. Enactment of this legislation or other efforts to increase U.S. regulatory access to audit information could cause investor uncertainty for affected issuers, including us, and the market price of the ADSs could be adversely affected. It is unclear if this proposed legislation would be enacted. Furthermore, there has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w:t>
      </w:r>
    </w:p>
    <w:p>
      <w:pPr>
        <w:spacing w:after="0" w:line="276" w:lineRule="exact"/>
        <w:rPr>
          <w:sz w:val="20"/>
          <w:szCs w:val="20"/>
          <w:color w:val="auto"/>
        </w:rPr>
      </w:pPr>
    </w:p>
    <w:p>
      <w:pPr>
        <w:ind w:left="120" w:right="600"/>
        <w:spacing w:after="0" w:line="375" w:lineRule="auto"/>
        <w:rPr>
          <w:sz w:val="20"/>
          <w:szCs w:val="20"/>
          <w:color w:val="auto"/>
        </w:rPr>
      </w:pPr>
      <w:r>
        <w:rPr>
          <w:rFonts w:ascii="Arial" w:cs="Arial" w:eastAsia="Arial" w:hAnsi="Arial"/>
          <w:sz w:val="15"/>
          <w:szCs w:val="15"/>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4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laws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adversely affected. A determination that we have not timely filed financial statements in compliance with the SEC requirements could ultimately lead to the delisting of our ADSs from the Nasdaq or the termination of the registration of our ADSs under the Securities Exchange Act of 1934, or both, which would substantially reduce or effectively terminate the trading of our ADSs in the United States.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ADSs AND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 active trading market for our ordinary shares or the ADSs may not develop and the trading price for the ADSs may fluctuate significantly.</w:t>
      </w:r>
    </w:p>
    <w:p>
      <w:pPr>
        <w:spacing w:after="0" w:line="14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been approved to list the ADSs on the Nasdaq.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was determined by negotiation between the underwriters and us based upon several factors, and we can provide no assurance that the trading price of the ADSs after this offering will not decline below the initial public offering price. As a result, investors in our securities may experience a significant decrease in the value of their ADSs.</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several existing shareholders and investors have indicated interest in purchasing a substantial number of the ADSs available in this offering at the initial public offering price and on the same terms as the other ADSs being offered. Kingsoft Group and Xiaomi, our existing shareholders, and Carmignac Gestion and its affiliates have indicated interest in purchasing up to US$25 million, US$50 million and US$50 million, respectively, of the ADSs being offered in this offering at the initial public offering price and on the same terms as the other ADSs being offered. Carmignac Gestion and its affiliates are not affiliated with us, nor are these investors affiliated with our directors or officers. If Kingsoft Group or Xiaomi is allocated all or a portion of such ADSs and purchases any such ADSs, such purchase may reduce the available public float for the ADSs. As a result, any purchase of ADSs by Kingsoft Group and Xiaomi in this offering may reduce the liquidity of the ADSs relative to what it would have been had these ADSs been purchased by the public.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the ADSs is likely to be volatile, which could result in substantial losses to investors.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but not limited to the following:</w:t>
      </w:r>
    </w:p>
    <w:p>
      <w:pPr>
        <w:spacing w:after="0" w:line="7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net revenues, earnings and cash flows;</w:t>
      </w:r>
    </w:p>
    <w:p>
      <w:pPr>
        <w:spacing w:after="0" w:line="130" w:lineRule="exact"/>
        <w:rPr>
          <w:rFonts w:ascii="Arial" w:cs="Arial" w:eastAsia="Arial" w:hAnsi="Arial"/>
          <w:sz w:val="18"/>
          <w:szCs w:val="18"/>
          <w:color w:val="auto"/>
        </w:rPr>
      </w:pPr>
    </w:p>
    <w:p>
      <w:pPr>
        <w:ind w:left="5540" w:right="1800" w:hanging="4884"/>
        <w:spacing w:after="0" w:line="449" w:lineRule="auto"/>
        <w:tabs>
          <w:tab w:leader="none" w:pos="10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 62</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offerings, solutions and expansions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regulations, rules or policies relevant to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major shareholders’ business performance and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If you purchase ADSs in this offering, you will pay more for your ADSs than the amount paid by our existing shareholders for their ordinary shares on a per ADS basis. As a result, you will experience an immediate and substantial dilution, representing a difference between the initial public offering price and our net tangible book value, after giving effect to the net proceeds we receive from this offering. See “Dilution” for a more complete description of how the value of your investment in the ADSs will be diluted upon the completion of this offering.</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ADSs could adversely affect their market price.</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Sales of substantial amounts of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25,000,000 ADSs (representing 375,000,000 ordinary shares) issued and outstanding immediately after this offering, or 28,750,000 ADSs (representing 431,250,000 ordinary shares) if the underwriters exercise their option to purchase additional ADSs in full. In connection with this offering, we, our directors, executive officers, existing shareholders and holders of share awards not to sell any ordinary shares or ADSs for 180 days after the date of this prospectus without the prior written consent of the representatives of the underwriters.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the ADSs. See “Underwriting” and “Shares Eligible for Future Sale” for a more detailed description of the restrictions on selling our securities after this offering.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the ADSs.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30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6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 xml:space="preserve">We currently intend to retain most, if not </w:t>
      </w:r>
      <w:r>
        <w:rPr>
          <w:rFonts w:ascii="Arial" w:cs="Arial" w:eastAsia="Arial" w:hAnsi="Arial"/>
          <w:sz w:val="18"/>
          <w:szCs w:val="18"/>
          <w:i w:val="1"/>
          <w:iCs w:val="1"/>
          <w:color w:val="auto"/>
        </w:rPr>
        <w:t>all</w:t>
      </w:r>
      <w:r>
        <w:rPr>
          <w:rFonts w:ascii="Arial" w:cs="Arial" w:eastAsia="Arial" w:hAnsi="Arial"/>
          <w:sz w:val="18"/>
          <w:szCs w:val="18"/>
          <w:color w:val="auto"/>
        </w:rPr>
        <w:t>,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Board of Directors has complete discretion as to whether to distribute dividends, subject to certain requirements of Cayman Islands law. In addition, our shareholders may by ordinary resolution declare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after this offering or even maintain the price at which you purchased the ADSs. You may not realize a return on your investment in our ADSs and you may even lose your entire investment in the ADSs.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6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Fangda Partners, our PRC legal counsel, has advised us that, based on its understanding of the current PRC laws and regulations, we will not be required to submit an application to the CSRC for the approval of this offering and the listing and trading of our ADSs on the Nasdaq because (i) the CSRC currently has not issued any definitive rule or interpretation concerning whether offerings like ours under this prospectus are subject to this regulation, (ii) we established the WFOE by means of direct investment and not through a merger or acquisition of the equity or assets of a “PRC domestic company” as such term is defined under the M&amp;A Rules; and (iii) no provision in the M&amp;A Rules classifies the contractual arrangements under the VIE Agreements as a type of acquisition transaction falling under the M&amp;A Rules.</w:t>
      </w:r>
    </w:p>
    <w:p>
      <w:pPr>
        <w:spacing w:after="0" w:line="17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counsel, and hence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9"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(2020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17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2"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6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an exempted company limited by shares incorporated under the laws of the Cayman Islands and substantially all of our assets are located outside of the United States. Substantially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Cayman Islands and of China may render you unable to enforce a judgment against our assets or the assets of our directors and officers. For more information regarding the relevant laws of the Cayman Islands and China, see “Enforceability of Civil Liabilities.” However, the deposit agreement gives you the right to submit claims against us to binding arbitration, and arbitration awards may be enforceable against us and our assets in China even when court judgments are not.</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post-offering memorandum and articles of association contain anti-takeover provisions that could have a material adverse effect on the rights of holders of our ordinary shares and ADSs.</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will adopt an amended and restated memorandum and articles of association that will become effective immediately prior to the completion of this offering. Our post-offering amended and restated memorandum and articles of association, will contain certain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without action by our shareholders,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9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92"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owners or holders of ADSs or by us or the depositary of compliance with any substantive provision of the U.S. federal securities laws and the rules and regulations promulgated thereunder.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the voting of the ordinary shares underlying your ADSs.</w:t>
      </w:r>
    </w:p>
    <w:p>
      <w:pPr>
        <w:spacing w:after="0" w:line="62"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As a Cayman Islands exempted company, we are not obliged by the Companies Law to call shareholders’ annual general meetings. Our post-IPO memorandum and articles of association provide that we may (but are not obliged to) each year hold a general meeting as our annual general meeting. As a holder of ADSs, you will not have any direct right to attend general meetings of our shareholders or to cast any votes at such meetings. You will only be able to exercise the voting rights which attach to the ordinary shares underlying your ADSs indirectly by giving voting instructions to the depositary in accordance with the provisions of the deposit agreement. Upon receipt of your voting instructions, the depositary may try to vote the ordinary shares underlying your ADSs in accordance with your instructions. If we do not instruct the depositary to ask for your instructions, the depositary may still vote in accordance with instructions you give, but it is not required to do so. You will not be able to directly exercise any right to vote with respect to the underlying ordinary shares unless you cancel the ADSs, withdraw the shares and become the registered holder of such shares prior to the record date for the general meeting. When a general meeting is convened, you may not receive sufficient advance notice of the meeting to enable you to cancel the ADSs, withdraw the shares underlying your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post 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canceling the ADSs, withdrawing the ordinary shares underlying your ADSs and becoming the registered holder of such shares prior to the record date, so that you would not be able to attend the general meeting or to vote directly.</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Where any matter is to be put to a vote at a general meeting, the depositary will notify you of the upcoming vote and to deliver our voting materials to you, if we ask it to do so. We cannot assure you that you will receive the voting material in time to ensure you can direct the depositary to vote the shares underlying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dilution of your holdings due to the inability to participate in rights offerings.</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it expedient in connection with the performance of its duties.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depositary may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We are an emerging growth company within the meaning of the Securities Act and may take advantage of certain reduced reporting requirements.</w:t>
      </w:r>
    </w:p>
    <w:p>
      <w:pPr>
        <w:spacing w:after="0" w:line="15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26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4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a Cayman Islands exempted company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a majority of independent directors and that the audit committee consist of at least three members. To the extent that we choose to follow home country practice in the future, our shareholders may be afforded less protection than they otherwise would enjoy under Nasdaq corporate governance listing standards applicable to U.S. domestic issuers.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or PFIC, for U.S. federal income tax purposes for the current or any future taxable year, which could result in adverse U.S. federal income tax consequences to U.S. investors in our ADSs or ordinary shares.</w:t>
      </w:r>
    </w:p>
    <w:p>
      <w:pPr>
        <w:spacing w:after="0" w:line="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rents, royalties and certain gains. Cash and cash-equivalents are passive assets for these purposes. Goodwill is generally characterized as an active asset to the extent it is associated with business activities that produce active income.</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Based on the current and expected composition of our income and assets and value of our assets, including goodwill, which is based, in part, on the expected price of the ADSs in this offering, we do not expect to be a PFIC for our current taxable year provided that U.S. taxpayers apply certain proposed Treasury regulations as described in “Taxation—Material U.S. Federal Income Tax Considerations—Passive Foreign Investment Company Rules.” However, our PFIC status for any taxable year is an annual determination that can be made only after the end of that taxable year and will depend on the composition of our income and assets and the value of our assets from time to time (which may be determined, in part, by reference to the market price of the ADSs, which could be volatile). Because we will hold a substantial amount of cash and cash-equivalents following this offering, our PFIC status for any taxable year may also depend on how, and how quickly, we use our liquid assets and the cash. If our market capitalization declines significantly while we continue to hold a substantial amount of cash and cash-equivalents for any taxable year, we could be a PFIC for that year. Moreover, it is not entirely clear how the contractual arrangements between us and our VIEs will be treated for purposes of the PFIC rules, and we may be or become a PFIC if our VIEs are not treated as owned by us for these purposes. Furthermore, the application of the PFIC rules is subject to certain uncertainties such as the proper calculation of gross income for purposes of the PFIC rules. Accordingly, there can be no assurance that we will not be a PFIC for our current or any future taxable year. If we were a PFIC for any taxable year during which a U.S. taxpayer owned our ADSs or ordinary shares, the U.S. taxpayer generally would be subject to adverse U.S. federal income tax consequences, including increased tax liability on disposition gains and “excess distributions” and additional reporting requirements. See “Taxation—Material U.S. Federal Income Tax Considerations—Passive Foreign Investment Company Rules.”</w:t>
      </w:r>
    </w:p>
    <w:p>
      <w:pPr>
        <w:spacing w:after="0" w:line="29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If a U.S. person is treated as owning 10% or more of our ADSs or ordinary shares, such person may be subject to adverse U.S. federal income tax consequences.</w:t>
      </w:r>
    </w:p>
    <w:p>
      <w:pPr>
        <w:spacing w:after="0" w:line="6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a U.S. person is treated as owning 10% or more of the value or voting power of our ADSs or ordinary shares, such person generally will be treated as a “United States shareholder” with respect to each “controlled foreign corporation,” or “CFC,” in our group (if any). A CFC is a non-U.S. corporation more than 50% of the stock (by vote or value) of which is owned (directly, indirectly or constructively) by “United States shareholders.” We are not actually controlled by “United states shareholders” for purposes of the CFC rules. However, under certain ownership attribution rules, we could be treated as constructively controlled by U.S. subsidiaries of Kingsoft Group (our controlling shareholder) for purposes of these rules, and therefore we and our subsidiaries may be treated as CFCs. A United States shareholder of a CFC may be subject to additional U.S. federal income tax liabilities and reporting requirements. We do not intend to monitor whether we are or any of our non-U.S. subsidiaries is treated as a CFC for any purpose of the U.S. Internal Revenue Code or whether any investor is treated as a United States shareholder with respect to any of these entities or to furnish to any United States shareholders any information that may be necessary to comply with any applicable CFC rules. U.S. investors should consult their tax advisers regarding the potential application of these rules in their particular circumstances.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This prospectus contains statements that constitute forward-looking statements.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77"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goals and growth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business and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business conditions in China;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prospectus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expect to receive total estimated net proceeds from this offering of approximately US$392.0 million, or approximately US$451.6 million if the underwriters exercise their option to purchase additional ADSs in full, based on an assumed initial public offering price of US$17.00 per ADS, the midpoint of the estimated initial public offering price range set forth on the front cover of this prospectus, after deducting underwriting discounts and commissions and the estimated offering expenses payable by 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use the net proceeds for the following purposes:</w:t>
      </w:r>
    </w:p>
    <w:p>
      <w:pPr>
        <w:spacing w:after="0" w:line="13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50% to further invest in upgrading and expanding our infrastructure;</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25% to further invest in technology and product development, especially in artificial intelligence, big data, cloud technologies and internet of things;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15% to fund the expansion of our ecosystem and international presence;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10% to supplement our working capital for general corporate purposes.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to our consolidated VIEs only through loans, and only if we satisfy the applicable government registration and approval requirements. We cannot assure you that we will be able to meet these requirements on a timely basis, if at all.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w:t>
      </w:r>
    </w:p>
    <w:p>
      <w:pPr>
        <w:spacing w:after="0" w:line="192"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Pending use of the net proceeds, we intend to hold our net proceeds in short-term, interest-bearing, financial instruments or demand deposits. 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have not previously declared or paid any cash dividend or dividend in kind and we have no plan to declare or pay any dividends in the near future on our shares or the ADSs representing our ordinary shares. We currently intend to retain most, if not all, of our available funds and any future earnings to operate and expand our business.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“Regulation—Regulation Related to Foreign Exchange and Dividend Distribution—Regulation on Dividend Distribution.”</w:t>
      </w:r>
    </w:p>
    <w:p>
      <w:pPr>
        <w:spacing w:after="0" w:line="16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requirements of Cayman Islands law,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net of the fees and expenses payable thereunder. See “Description of American Depositary Shares.”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capitalization as of December 31, 2019:</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200" w:hanging="424"/>
        <w:spacing w:after="0" w:line="25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to reflect (i) the automatic conversion of all outstanding convertible preferred shares and redeemable convertible preferred shares including the 22,035,999 Series D+ redeemable convertible preferred shares that were issued in January 2020 on a one-for-one basis immediately prior to the completion of this offering, (ii) the repurchase of 5,475,254 ordinary shares in February 2020, (iii) the recognition of an one-time share-based compensation expense for share-based awards subject to accelerated vesting upon the completion of this offering; and</w:t>
      </w:r>
    </w:p>
    <w:p>
      <w:pPr>
        <w:spacing w:after="0" w:line="93" w:lineRule="exact"/>
        <w:rPr>
          <w:rFonts w:ascii="Arial" w:cs="Arial" w:eastAsia="Arial" w:hAnsi="Arial"/>
          <w:sz w:val="18"/>
          <w:szCs w:val="18"/>
          <w:color w:val="auto"/>
        </w:rPr>
      </w:pPr>
    </w:p>
    <w:p>
      <w:pPr>
        <w:ind w:left="1080" w:right="20" w:hanging="424"/>
        <w:spacing w:after="0" w:line="290"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outstanding convertible preferred shares and redeemable convertible preferred shares including the 22,035,999 Series D+ redeemable convertible preferred shares that were issued in January 2020 on a one-for-one basis immediately prior to the completion of this offering, (ii) the repurchase of 5,475,254 ordinary shares in February 2020, (iii) the recognition of an one-time share-based compensation expense for share-based awards subject to accelerated vesting upon the completion of this offering, and (iv) the issuance and sale of 375,000,000 ordinary shares in the form of ADSs by us in this offering at an assumed initial public offering price of US$17.0 per ADS being the mid-point of the estimated range of the initial offering price shown on the front cover of this prospectus, after deducting the underwriting discounts and commissions and estimated offering expenses payable by us (assuming the underwriters do not exercise their option to purchase additional ADSs).</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December 31, 2019</w:t>
            </w: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240" w:type="dxa"/>
            <w:vAlign w:val="bottom"/>
            <w:tcBorders>
              <w:bottom w:val="single" w:sz="8" w:color="auto"/>
            </w:tcBorders>
            <w:gridSpan w:val="3"/>
          </w:tcPr>
          <w:p>
            <w:pPr>
              <w:ind w:left="820"/>
              <w:spacing w:after="0" w:line="142" w:lineRule="exact"/>
              <w:rPr>
                <w:sz w:val="20"/>
                <w:szCs w:val="20"/>
                <w:color w:val="auto"/>
              </w:rPr>
            </w:pPr>
            <w:r>
              <w:rPr>
                <w:rFonts w:ascii="Arial" w:cs="Arial" w:eastAsia="Arial" w:hAnsi="Arial"/>
                <w:sz w:val="14"/>
                <w:szCs w:val="14"/>
                <w:b w:val="1"/>
                <w:bCs w:val="1"/>
                <w:color w:val="auto"/>
                <w:w w:val="93"/>
              </w:rPr>
              <w:t>Actual</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bottom w:val="single" w:sz="8" w:color="auto"/>
            </w:tcBorders>
            <w:gridSpan w:val="3"/>
          </w:tcPr>
          <w:p>
            <w:pPr>
              <w:ind w:left="740"/>
              <w:spacing w:after="0" w:line="142" w:lineRule="exact"/>
              <w:rPr>
                <w:sz w:val="20"/>
                <w:szCs w:val="20"/>
                <w:color w:val="auto"/>
              </w:rPr>
            </w:pPr>
            <w:r>
              <w:rPr>
                <w:rFonts w:ascii="Arial" w:cs="Arial" w:eastAsia="Arial" w:hAnsi="Arial"/>
                <w:sz w:val="14"/>
                <w:szCs w:val="14"/>
                <w:b w:val="1"/>
                <w:bCs w:val="1"/>
                <w:color w:val="auto"/>
                <w:w w:val="93"/>
              </w:rPr>
              <w:t>Pro forma</w:t>
            </w: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Borders>
              <w:bottom w:val="single" w:sz="8" w:color="auto"/>
            </w:tcBorders>
            <w:gridSpan w:val="3"/>
          </w:tcPr>
          <w:p>
            <w:pPr>
              <w:jc w:val="right"/>
              <w:ind w:right="231"/>
              <w:spacing w:after="0" w:line="142" w:lineRule="exact"/>
              <w:rPr>
                <w:sz w:val="20"/>
                <w:szCs w:val="20"/>
                <w:color w:val="auto"/>
              </w:rPr>
            </w:pPr>
            <w:r>
              <w:rPr>
                <w:rFonts w:ascii="Arial" w:cs="Arial" w:eastAsia="Arial" w:hAnsi="Arial"/>
                <w:sz w:val="14"/>
                <w:szCs w:val="14"/>
                <w:b w:val="1"/>
                <w:bCs w:val="1"/>
                <w:color w:val="auto"/>
              </w:rPr>
              <w:t>Pro forma as adjusted</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124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RMB</w:t>
            </w: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9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5"/>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Series B convertible preferred shares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337,268</w:t>
            </w:r>
          </w:p>
        </w:tc>
        <w:tc>
          <w:tcPr>
            <w:tcW w:w="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48,446</w:t>
            </w:r>
          </w:p>
        </w:tc>
        <w:tc>
          <w:tcPr>
            <w:tcW w:w="13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shares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1,043,147</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149,839</w:t>
            </w:r>
          </w:p>
        </w:tc>
        <w:tc>
          <w:tcPr>
            <w:tcW w:w="1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Series D redeemable convertible preferred shares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5,965,273</w:t>
            </w:r>
          </w:p>
        </w:tc>
        <w:tc>
          <w:tcPr>
            <w:tcW w:w="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856,858</w:t>
            </w:r>
          </w:p>
        </w:tc>
        <w:tc>
          <w:tcPr>
            <w:tcW w:w="13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Series D+ redeemable convertible preferred shares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388,844</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55,854</w:t>
            </w:r>
          </w:p>
        </w:tc>
        <w:tc>
          <w:tcPr>
            <w:tcW w:w="1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7,734,532</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1,110,997</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shares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123,186</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17,695</w:t>
            </w:r>
          </w:p>
        </w:tc>
        <w:tc>
          <w:tcPr>
            <w:tcW w:w="1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Ordinary shares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5,558</w:t>
            </w:r>
          </w:p>
        </w:tc>
        <w:tc>
          <w:tcPr>
            <w:tcW w:w="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17,561</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2,522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20,172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2,898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91,746</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8,155,078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1,171,405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10,881,235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1,562,992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Accumulated deficit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(4,902,097)</w:t>
            </w:r>
          </w:p>
        </w:tc>
        <w:tc>
          <w:tcPr>
            <w:tcW w:w="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(704,142)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(4,990,701)</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(716,869)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(4,990,701)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(716,869)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484,348</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69,572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484,348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69,572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484,348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69,572</w:t>
            </w: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r>
              <w:rPr>
                <w:rFonts w:ascii="Arial" w:cs="Arial" w:eastAsia="Arial" w:hAnsi="Arial"/>
                <w:sz w:val="15"/>
                <w:szCs w:val="15"/>
                <w:b w:val="1"/>
                <w:bCs w:val="1"/>
                <w:color w:val="auto"/>
              </w:rPr>
              <w:t>(2)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(4,197,259)</w:t>
            </w:r>
          </w:p>
        </w:tc>
        <w:tc>
          <w:tcPr>
            <w:tcW w:w="2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(602,899)</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87"/>
              </w:rPr>
              <w:t>3,666,286</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526,630</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6,395,054</w:t>
            </w:r>
          </w:p>
        </w:tc>
        <w:tc>
          <w:tcPr>
            <w:tcW w:w="1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918,593</w:t>
            </w:r>
          </w:p>
        </w:tc>
        <w:tc>
          <w:tcPr>
            <w:tcW w:w="120" w:type="dxa"/>
            <w:vAlign w:val="bottom"/>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3,537,273</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508,098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3,666,286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526,630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6,395,054</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918,593</w:t>
            </w:r>
          </w:p>
        </w:tc>
      </w:tr>
      <w:tr>
        <w:trPr>
          <w:trHeight w:val="20"/>
        </w:trPr>
        <w:tc>
          <w:tcPr>
            <w:tcW w:w="4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531"/>
              <w:spacing w:after="0"/>
              <w:rPr>
                <w:sz w:val="20"/>
                <w:szCs w:val="20"/>
                <w:color w:val="auto"/>
              </w:rPr>
            </w:pPr>
            <w:r>
              <w:rPr>
                <w:rFonts w:ascii="Arial" w:cs="Arial" w:eastAsia="Arial" w:hAnsi="Arial"/>
                <w:sz w:val="18"/>
                <w:szCs w:val="18"/>
                <w:color w:val="auto"/>
                <w:w w:val="89"/>
              </w:rPr>
              <w:t>74</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40" w:right="300" w:hanging="424"/>
        <w:spacing w:after="0" w:line="230"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total shareholders’ (deficit)/equity and total capitalization following the completion of this offering are subject to adjustment based on the actual initial public offering price and other terms of this offering determined at pricing.</w:t>
      </w:r>
    </w:p>
    <w:p>
      <w:pPr>
        <w:ind w:left="540" w:hanging="424"/>
        <w:spacing w:after="0" w:line="229"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 US$17.0 per ADS (the midpoint of the estimated initial public offering price range set forth on the front cover of this prospectus) would, in the case of an increase, increase and, in the case of a decrease, decrease each of additional paid-in capital, total shareholders’ (deficit)/equity and total capitalization by US$23.4 million.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49"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Our net tangible book value as of December 31, 2019 was approximately US$507.0 million, or US$0.57 per ordinary share and US$8.55 per ADS. Net tangible book value represents the amount of our total consolidated tangible assets, less the amount of our total consolidated liabilities. Dilution is determined by subtracting net tangible book value per ordinary share as adjusted from the initial public offering price per ordinary shares.</w:t>
      </w:r>
    </w:p>
    <w:p>
      <w:pPr>
        <w:spacing w:after="0" w:line="14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Without taking into account any other changes in such net tangible book value after December 31, 2019, other than to give effect to (i) the conversion of all of our preferred shares into ordinary shares on a one-to-one basis which will occur automatically immediately prior to the completion of this offering, (ii) the repurchase of 5,475,254 ordinary shares in February 2020, (iii) the recognition of one-time share-based compensation expense for share-based awards subject to accelerated vesting upon the completion of this offering, and (iv) our issuance and sale of 25,000,000 ADSs offered in this offering at an assumed initial public offering price of US$17.0 per ADS, after deduction of the underwriting discounts and commissions and estimated offering expenses payable by us, our pro forma as adjusted net tangible book value as of December 31, 2019 would have been approximately US$899.0 million, or US$0.30 per ordinary share and US$4.50 per ADS, to existing shareholders and an immediate dilution in net tangible book value of US$0.83 per ordinary share, or US$12.50 per ADS, to purchasers of ADSs in this offering.</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illustrates the dilution at the assumed initial public offering price per ordinary share is US$1.13 and all ADSs are exchanged for ordinary shares:</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tangible book value per ordinary share as of December 31, 2019</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0.57</w:t>
            </w:r>
          </w:p>
        </w:tc>
      </w:tr>
      <w:tr>
        <w:trPr>
          <w:trHeight w:val="202"/>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per ordinary share after giving effect to the automatic</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our preferred shares and the repurchase of ordinary shares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202"/>
        </w:trPr>
        <w:tc>
          <w:tcPr>
            <w:tcW w:w="7580" w:type="dxa"/>
            <w:vAlign w:val="bottom"/>
          </w:tcPr>
          <w:p>
            <w:pPr>
              <w:spacing w:after="0" w:line="201" w:lineRule="exact"/>
              <w:rPr>
                <w:sz w:val="20"/>
                <w:szCs w:val="20"/>
                <w:color w:val="auto"/>
              </w:rPr>
            </w:pPr>
            <w:r>
              <w:rPr>
                <w:rFonts w:ascii="Arial" w:cs="Arial" w:eastAsia="Arial" w:hAnsi="Arial"/>
                <w:sz w:val="18"/>
                <w:szCs w:val="18"/>
                <w:color w:val="auto"/>
              </w:rPr>
              <w:t>Pro forma as adjusted net tangible book value per ordinary share as adjusted to give effect</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to the automatic conversion of all of our outstanding preferred shares, the repurchase of</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ordinary shares and this offering</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0.30</w:t>
            </w:r>
          </w:p>
        </w:tc>
      </w:tr>
      <w:tr>
        <w:trPr>
          <w:trHeight w:val="202"/>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 of dilution in net tangible book value per ordinary share to new investors in this</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3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Amount of dilution in net tangible book value per ADS to new investors in this offering</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US$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 forma information discussed above is illustrative only.</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following table summarizes, on a pro forma basis as of December 31, 2019, the differences between the existing shareholders and the new investors with respect to the number of ordinary shares purchased from us in this offering, the total consideration paid and the average price per ordinary share paid at the initial public offering price of US$17.0 per ADS before deducting underwriting discounts and commissions and estimated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offering expenses. The total number of ordinary shares does not include ordinary shares underlying the ADSs issuable upon the exercise of the option to purchase additional ADSs granted to the underwriters.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gridSpan w:val="2"/>
            <w:vMerge w:val="restart"/>
          </w:tcPr>
          <w:p>
            <w:pPr>
              <w:jc w:val="center"/>
              <w:ind w:right="360"/>
              <w:spacing w:after="0" w:line="113" w:lineRule="exact"/>
              <w:rPr>
                <w:sz w:val="20"/>
                <w:szCs w:val="20"/>
                <w:color w:val="auto"/>
              </w:rPr>
            </w:pPr>
            <w:r>
              <w:rPr>
                <w:rFonts w:ascii="Arial" w:cs="Arial" w:eastAsia="Arial" w:hAnsi="Arial"/>
                <w:sz w:val="13"/>
                <w:szCs w:val="13"/>
                <w:b w:val="1"/>
                <w:bCs w:val="1"/>
                <w:color w:val="auto"/>
              </w:rPr>
              <w:t>Per Ordinary</w:t>
            </w:r>
          </w:p>
        </w:tc>
        <w:tc>
          <w:tcPr>
            <w:tcW w:w="920" w:type="dxa"/>
            <w:vAlign w:val="bottom"/>
            <w:gridSpan w:val="2"/>
            <w:vMerge w:val="restart"/>
          </w:tcPr>
          <w:p>
            <w:pPr>
              <w:jc w:val="center"/>
              <w:ind w:right="60"/>
              <w:spacing w:after="0" w:line="113" w:lineRule="exact"/>
              <w:rPr>
                <w:sz w:val="20"/>
                <w:szCs w:val="20"/>
                <w:color w:val="auto"/>
              </w:rPr>
            </w:pPr>
            <w:r>
              <w:rPr>
                <w:rFonts w:ascii="Arial" w:cs="Arial" w:eastAsia="Arial" w:hAnsi="Arial"/>
                <w:sz w:val="13"/>
                <w:szCs w:val="13"/>
                <w:b w:val="1"/>
                <w:bCs w:val="1"/>
                <w:color w:val="auto"/>
                <w:w w:val="99"/>
              </w:rPr>
              <w:t>Average Price</w:t>
            </w:r>
          </w:p>
        </w:tc>
        <w:tc>
          <w:tcPr>
            <w:tcW w:w="0" w:type="dxa"/>
            <w:vAlign w:val="bottom"/>
          </w:tcPr>
          <w:p>
            <w:pPr>
              <w:spacing w:after="0"/>
              <w:rPr>
                <w:sz w:val="1"/>
                <w:szCs w:val="1"/>
                <w:color w:val="auto"/>
              </w:rPr>
            </w:pPr>
          </w:p>
        </w:tc>
      </w:tr>
      <w:tr>
        <w:trPr>
          <w:trHeight w:val="65"/>
        </w:trPr>
        <w:tc>
          <w:tcPr>
            <w:tcW w:w="4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2"/>
            <w:vMerge w:val="restart"/>
          </w:tcPr>
          <w:p>
            <w:pPr>
              <w:jc w:val="center"/>
              <w:ind w:right="340"/>
              <w:spacing w:after="0" w:line="119" w:lineRule="exact"/>
              <w:rPr>
                <w:sz w:val="20"/>
                <w:szCs w:val="20"/>
                <w:color w:val="auto"/>
              </w:rPr>
            </w:pPr>
            <w:r>
              <w:rPr>
                <w:rFonts w:ascii="Arial" w:cs="Arial" w:eastAsia="Arial" w:hAnsi="Arial"/>
                <w:sz w:val="13"/>
                <w:szCs w:val="13"/>
                <w:b w:val="1"/>
                <w:bCs w:val="1"/>
                <w:color w:val="auto"/>
              </w:rPr>
              <w:t>Amount (in</w:t>
            </w: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2000" w:type="dxa"/>
            <w:vAlign w:val="bottom"/>
            <w:gridSpan w:val="3"/>
            <w:vMerge w:val="restart"/>
          </w:tcPr>
          <w:p>
            <w:pPr>
              <w:ind w:left="140"/>
              <w:spacing w:after="0" w:line="151" w:lineRule="exact"/>
              <w:rPr>
                <w:sz w:val="20"/>
                <w:szCs w:val="20"/>
                <w:color w:val="auto"/>
              </w:rPr>
            </w:pPr>
            <w:r>
              <w:rPr>
                <w:rFonts w:ascii="Arial" w:cs="Arial" w:eastAsia="Arial" w:hAnsi="Arial"/>
                <w:sz w:val="14"/>
                <w:szCs w:val="14"/>
                <w:b w:val="1"/>
                <w:bCs w:val="1"/>
                <w:color w:val="auto"/>
                <w:w w:val="99"/>
              </w:rPr>
              <w:t>Ordinary Shares Purchased</w:t>
            </w:r>
          </w:p>
        </w:tc>
        <w:tc>
          <w:tcPr>
            <w:tcW w:w="5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87"/>
              </w:rPr>
              <w:t>Share</w:t>
            </w:r>
          </w:p>
        </w:tc>
        <w:tc>
          <w:tcPr>
            <w:tcW w:w="360" w:type="dxa"/>
            <w:vAlign w:val="bottom"/>
          </w:tcPr>
          <w:p>
            <w:pPr>
              <w:spacing w:after="0"/>
              <w:rPr>
                <w:sz w:val="4"/>
                <w:szCs w:val="4"/>
                <w:color w:val="auto"/>
              </w:rPr>
            </w:pPr>
          </w:p>
        </w:tc>
        <w:tc>
          <w:tcPr>
            <w:tcW w:w="86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6"/>
              </w:rPr>
              <w:t>Per ADS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280" w:type="dxa"/>
            <w:vAlign w:val="bottom"/>
          </w:tcPr>
          <w:p>
            <w:pPr>
              <w:spacing w:after="0"/>
              <w:rPr>
                <w:sz w:val="10"/>
                <w:szCs w:val="10"/>
                <w:color w:val="auto"/>
              </w:rPr>
            </w:pPr>
          </w:p>
        </w:tc>
        <w:tc>
          <w:tcPr>
            <w:tcW w:w="2000" w:type="dxa"/>
            <w:vAlign w:val="bottom"/>
            <w:tcBorders>
              <w:bottom w:val="single" w:sz="8" w:color="auto"/>
            </w:tcBorders>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2"/>
          </w:tcPr>
          <w:p>
            <w:pPr>
              <w:jc w:val="center"/>
              <w:ind w:right="340"/>
              <w:spacing w:after="0" w:line="118" w:lineRule="exact"/>
              <w:rPr>
                <w:sz w:val="20"/>
                <w:szCs w:val="20"/>
                <w:color w:val="auto"/>
              </w:rPr>
            </w:pPr>
            <w:r>
              <w:rPr>
                <w:rFonts w:ascii="Arial" w:cs="Arial" w:eastAsia="Arial" w:hAnsi="Arial"/>
                <w:sz w:val="13"/>
                <w:szCs w:val="13"/>
                <w:b w:val="1"/>
                <w:bCs w:val="1"/>
                <w:color w:val="auto"/>
                <w:w w:val="95"/>
              </w:rPr>
              <w:t>thousands of</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Percent</w:t>
            </w:r>
          </w:p>
        </w:tc>
        <w:tc>
          <w:tcPr>
            <w:tcW w:w="5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US$)</w:t>
            </w:r>
          </w:p>
        </w:tc>
        <w:tc>
          <w:tcPr>
            <w:tcW w:w="3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Percent</w:t>
            </w:r>
          </w:p>
        </w:tc>
        <w:tc>
          <w:tcPr>
            <w:tcW w:w="5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w:t>
            </w:r>
          </w:p>
        </w:tc>
        <w:tc>
          <w:tcPr>
            <w:tcW w:w="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2,618,874,298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1,173,926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New investors</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375,000,000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425,000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2,993,874,298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1,598,926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discussion and tables above also assume no exercise of any stock options outstanding as of the date of this prospectus. The maximum aggregate number of ordinary shares that may be issued under our share incentive plans is 425,126,304 shares. As of the date of this prospectus, there are 126,754,000 ordinary shares issuable upon exercise of outstanding share options under our share incentive plans. To the extent that any of these options are exercised, there will be further dilution to new investors.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are incorporated under the laws of the Cayman Islands to take advantage of certain benefits associated with being a Cayman Islands exempted company:</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w:t>
      </w:r>
    </w:p>
    <w:p>
      <w:pPr>
        <w:spacing w:after="0" w:line="76" w:lineRule="exact"/>
        <w:rPr>
          <w:sz w:val="20"/>
          <w:szCs w:val="20"/>
          <w:color w:val="auto"/>
        </w:rPr>
      </w:pPr>
    </w:p>
    <w:p>
      <w:pPr>
        <w:ind w:left="1080" w:right="5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appointed Cogency Global Inc. as our agent upon whom process may be served in any action brought against us under the securities laws of the United States.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Conyers Dill &amp; Pearman, our counsel as to Cayman Islands law, and Fangda Partners, our counsel as to PRC law, have advised us, respectively, that there is uncertainty as to whether the courts of the Cayman Islands and China, respectively, would:</w:t>
      </w:r>
    </w:p>
    <w:p>
      <w:pPr>
        <w:spacing w:after="0" w:line="76" w:lineRule="exact"/>
        <w:rPr>
          <w:sz w:val="20"/>
          <w:szCs w:val="20"/>
          <w:color w:val="auto"/>
        </w:rPr>
      </w:pPr>
    </w:p>
    <w:p>
      <w:pPr>
        <w:ind w:left="1080" w:right="2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Conyers Dill &amp; Pearman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federal or state courts in the United States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w:t>
      </w:r>
    </w:p>
    <w:p>
      <w:pPr>
        <w:spacing w:after="0" w:line="18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However, the Cayman Islands courts are unlikely to enforce a punitive judgment of a United States court predicated upon the civil liability provisions of the federal securities laws in the United States without retrial on the merits if such judgment is determined by the courts of the Cayman Islands to give rise to obligations to make payments that may be regarded as fines, penalties or punitive in nature.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been advised by Fangda Partners, our PRC legal counsel, that there is uncertainty as to whether the courts of the PRC would enforce judgments of United States courts or Cayman Islands courts obtained against us or these persons predicated upon the civil liability provisions of the United States federal and state securities laws. Fangda Partners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forms of written arrangement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ordinary shares.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History</w:t>
      </w:r>
    </w:p>
    <w:p>
      <w:pPr>
        <w:spacing w:after="0" w:line="121" w:lineRule="exact"/>
        <w:rPr>
          <w:sz w:val="20"/>
          <w:szCs w:val="20"/>
          <w:color w:val="auto"/>
        </w:rPr>
      </w:pPr>
    </w:p>
    <w:p>
      <w:pPr>
        <w:jc w:val="both"/>
        <w:ind w:left="120" w:right="140" w:firstLine="440"/>
        <w:spacing w:after="0" w:line="342" w:lineRule="auto"/>
        <w:rPr>
          <w:sz w:val="20"/>
          <w:szCs w:val="20"/>
          <w:color w:val="auto"/>
        </w:rPr>
      </w:pPr>
      <w:r>
        <w:rPr>
          <w:rFonts w:ascii="Arial" w:cs="Arial" w:eastAsia="Arial" w:hAnsi="Arial"/>
          <w:sz w:val="16"/>
          <w:szCs w:val="16"/>
          <w:color w:val="auto"/>
        </w:rPr>
        <w:t>In January 2012, we incorporated Kingsoft Cloud Holdings Limited under the laws of the Cayman Islands as our offshore holding company. In February 2012, we incorporated Kingsoft Cloud Corporation Limited as Kingsoft Cloud Holdings Limited’s wholly-owned subsidiary in Hong Kong.</w:t>
      </w:r>
    </w:p>
    <w:p>
      <w:pPr>
        <w:spacing w:after="0" w:line="12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April 2012, Kingsoft Cloud Corporation Limited incorporated Beijing Kingsoft Cloud Technology Co., Ltd., or Beijing Kingsoft Cloud, as its wholly-owned subsidiary in the PRC. In December 2015, Kingsoft Cloud Corporation Limited incorporated another wholly-owned subsidiary, Beijing Yunxiang Zhisheng Technology Co., Ltd., or Yunxiang Zhisheng, in the PRC. See “—Corporate Structure.”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December 2017, Kingsoft Cloud Corporation Limited incorporated a wholly-owned subsidiary, Kingsoft Cloud Inc., in the United States, to operate cloud service business and conduct research and development on cloud technology and products.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Beijing Kingsoft Cloud entered into a series of contractual arrangements, as amended and restated, with Zhuhai Kingsoft Cloud Technology Co., Ltd., or Zhuhai Kingsoft Cloud, and its wholly-owned subsidiary, Beijing Kingsoft Cloud Network Technology Co., Ltd., or Kingsoft Cloud Network, through which we obtained control over Zhuhai Kingsoft Cloud. In addition, Yunxiang Zhisheng entered into a series of contractual arrangements with Kingsoft Cloud (Beijing) Information Technology Co., Ltd., or Kingsoft Cloud Information, and its wholly-owned subsidiary, Beijing Jinxun Ruibo Technology Co., Ltd., or Jinxun Ruibo, which enable us to obtain control over the Kingsoft Cloud Information to operate value-added telecommunication services. As a result, we are regarded as the primary beneficiary of each of Zhuhai Kingsoft Cloud and Kingsoft Cloud Information. We treat them as our consolidated affiliated entities under U.S. GAAP and have consolidated the financial results of these entities in our consolidated financial statements in accordance with U.S. GAAP. We refer to Beijing Kingsoft Cloud and Yunxiang Zhisheng as our wholly foreign owned entities, or WFOEs, and to Zhuhai Kingsoft Cloud, Kingsoft Cloud Information and their subsidiaries as our variable interest entities, or our VIEs, in this prospectus. For more details and risks related to our VIE structure, please see “—Contractual Arrangements with Our VIEs and the Their Respective Shareholders” and “Risk Factors—Risks Relating to Our Corporate Structure.”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diagram illustrates our corporate structure, including our significant subsidiaries and VIEs, immediately upon the completion of this offering, assuming no exercise of the underwriters’ option to purchase additional ADSs. Kingsoft Group and Xiaomi, our existing shareholders, have indicated interest in purchasing up to US$25 million and US$50 million, respectively, of the ADSs being offered in this offering at the initial public offering price and on the same terms as the other ADSs being offered. Such indications of interests are not binding agreements or commitments to purchase, and we and the underwriters are currently under no obligations to sell any ADSs to Kingsoft Group or Xiaomi. The calculations in the diagram below do not take into account of these existing shareholders’ subscription in this offering,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043295" cy="4586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43295" cy="458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40" w:right="20" w:hanging="424"/>
        <w:spacing w:after="0" w:line="227"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Shareholders of Zhuhai Kingsoft Cloud are Beijing Kingsoft Digital Entertainment Technology Co., Ltd. and Ms. Weiqin Qiu, a family member of a director of Kingsoft Group. Beijing Kingsoft Digital Entertainment Technology Co., Ltd. and Ms. Weiqin Qiu are not shareholders of our company. Beijing Kingsoft Digital Entertainment Technology Co., Ltd. is ultimately owned by Ms. Weiqin Qiu and Ms. Peili Lei, a family member of the chairman of our Board.</w:t>
      </w:r>
    </w:p>
    <w:p>
      <w:pPr>
        <w:ind w:left="540" w:hanging="424"/>
        <w:spacing w:after="0" w:line="221"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Shareholders of Kingsoft Cloud Information are Mr. Yulin Wang (our director and CEO) and Ms. Weiqin Qiu.</w:t>
      </w:r>
    </w:p>
    <w:p>
      <w:pPr>
        <w:ind w:left="540" w:right="380" w:hanging="424"/>
        <w:spacing w:after="0" w:line="237"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Six subsidiaries are Xiong’an Kingsoft Cloud Information Technology Co., Ltd., Nanjing Qianyi Shixun Information Technology Co., Ltd., Suzhou Yunxiang Zhisheng Network Technology Co., Ltd., Rizhao Kingsoft Cloud Network Technology Co., Ltd., Hainan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80"/>
        <w:spacing w:after="0" w:line="230" w:lineRule="auto"/>
        <w:rPr>
          <w:sz w:val="20"/>
          <w:szCs w:val="20"/>
          <w:color w:val="auto"/>
        </w:rPr>
      </w:pPr>
      <w:r>
        <w:rPr>
          <w:rFonts w:ascii="Arial" w:cs="Arial" w:eastAsia="Arial" w:hAnsi="Arial"/>
          <w:sz w:val="14"/>
          <w:szCs w:val="14"/>
          <w:color w:val="auto"/>
        </w:rPr>
        <w:t>ChengMai Yunxiang Zhisheng Network Technology Co., Ltd. and Kingsoft Cloud (Tianjin) Technology Development Co., Ltd., all of which are wholly owned by Kingsoft Cloud Network to operate cloud business for certain projects.</w:t>
      </w:r>
    </w:p>
    <w:p>
      <w:pPr>
        <w:ind w:left="540" w:right="40" w:hanging="424"/>
        <w:spacing w:after="0" w:line="237"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Two subsidiaries are Nanjing Kingsoft Cloud Network Technology Co., Ltd. and Wuhan Kingsoft Cloud Information Technology Co., Ltd., both of which are wholly owned by Jinxun Ruibo to operate cloud business for certain projects.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VIEs and Their Respective Shareholders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Current PRC laws and regulations impose certain restrictions or prohibitions on foreign ownership of companies that engage in value-added telecommunication services. We are a company registered in the Cayman Islands. Our PRC subsidiaries, Beijing Kingsoft Cloud and Yunxiang Zhisheng, are considered foreign-invested enterprises. To comply with PRC laws and regulations, we primarily conduct our business in China through our VIEs, Zhuhai Kingsoft Cloud and Kingsoft Cloud Information, and their subsidiaries, based on a series of contractual arrangements. As a result of these contractual arrangements, we exert effective control over, and are considered the primary beneficiary of, our VIEs and consolidate their operating results in our financial statements under U.S. GAAP.</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is a summary of the contractual arrangements by and among Beijing Kingsoft Cloud, Zhuhai Kingsoft Cloud, the shareholders of Zhuhai Kingsoft Cloud and the contractual arrangements by and among Yunxiang Zhisheng, Kingsoft Cloud Information and the shareholders of Kingsoft Cloud Information. For the complete text of these contractual arrangements, please see the copies filed as exhibits to the registration statement filed with the SEC of which this prospectus forms a part.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Consultation and Technical Service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exclusive consultation and technical service agreement dated November 9, 2012, as amended and supplemented on November 29,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Kingsoft Cloud has agreed to exclusively provide the following services (among others) to Zhuhai Kingsoft Cloud:</w:t>
      </w:r>
    </w:p>
    <w:p>
      <w:pPr>
        <w:spacing w:after="0" w:line="11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licensing of software, copyrights and know-how legally owned by Beijing Kingsoft Cloud;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 of comprehensive consultancy services related to business operation, management and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development, maintenance and updates of hardware and database;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development of application software and related operational support and updates;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 of technical training for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collection and research of technical information;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 of other related services as required by Zhuhai Kingsoft Cloud from time to time.</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Zhuhai Kingsoft Cloud has agreed to annually pay service fees equal to 100% of its revenues for the year deducting costs in the same period as agreed by both parties, and pay service fees for certain services as required by Zhuhai Kingsoft Cloud from time to time. The service fees are adjustable at the sole discretion of Beijing Kingsoft Cloud. The exclusive consultation and technical service agreement shall remain effective for 20 years from November 9, 2012 unless expressly provided otherwise or Beijing Kingsoft Cloud unilaterally decides to terminate the exclusive consultation and technical service agreement. Beijing Kingsoft Cloud can unilaterally renew this agreement for a further period determined by itself.</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July 18, 2018, Kingsoft Cloud Information and Yunxiang Zhisheng entered into an exclusive consultation and technical service agreement, which was later amended and supplemented on November 29, 2019 and contains terms substantially similar to the exclusive consultation and technical service agreement described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Agreements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 June 20, 2014, Ms. Weiqin Qiu and Beijing Kingsoft Cloud entered into a loan agreement, as amended and supplemented on November 29, 2019, under which Beijing Kingsoft Cloud agreed to provide Ms. Weiqin Qiu interest-free loans. Under these loan agreements, the loans shall be repaid by transferring Ms. Weiqin Qiu’s equity interest in Zhuhai Kingsoft Cloud to Beijing Kingsoft Cloud or its designee.</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 loan agreement with Yunxiang Zhisheng, under which Yunxiang Zhisheng agreed to provide Mr. Yulin Wang and Ms. Weiqin Qiu an interest-free loan. This agreement was later amended and supplemented on November 29, 2019, and contains terms substantially similar to the loan agreements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Pledge Agreement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Each of Ms. Weiqin Qiu and Beijing Kingsoft Digital Entertainment Technology Co., Ltd., or Kingsoft Digital, the shareholders of Zhuhai Kingsoft Cloud, has entered into an equity pledge agreement with Beijing Kingsoft Cloud and Zhuhai Kingsoft Cloud on June 20, 2014. Under the equity pledge agreement, Ms. Weiqin Qiu and Kingsoft Digital pledged their respective equity interest in Zhuhai Kingsoft Cloud to Beijing Kingsoft Cloud to secure obligations under the applicable loan agreements, exclusive purchase option agreement, shareholder voting right trust agreement, and exclusive consultation and technical service agreement. Ms. Weiqin Qiu and Kingsoft Digital further agreed not to transfer or pledge their equity interest in Zhuhai Kingsoft Cloud without the prior written consent of Beijing Kingsoft Cloud. The equity pledge agreement will remain binding until the pledgers, Ms. Weiqin Qiu and Kingsoft Digital, as the case may be, discharge all of their obligations under the above-mentioned agreements. As of the date of this prospectus, the equity pledges under the equity pledge agreement have been registered with competent PRC regulatory authority.</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an equity pledge agreement with Yunxiang Zhisheng, which contains terms substantially similar to the equity pledge agreement described above. As of the date of this prospectus, the equity pledges under the equity pledge agreement dated July 18, 2018 have been registered with competent PRC regulatory authority.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Purchase Option Agreement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Ms. Weiqin Qiu and Kingsoft Digital, the shareholders of Zhuhai Kingsoft Cloud, entered into an exclusive purchase option agreement with Beijing Kingsoft Cloud and Zhuhai Kingsoft Cloud on June 20, 2014, which was later amended and supplemented on November 29, 2019. Under the exclusive purchase option agreement, Ms. Weiqin Qiu granted Beijing Kingsoft Cloud or its designee an option to purchase her equity interest in Zhuhai Kingsoft Cloud at a price equal to the higher of the amount of the loan provided to Ms. Weiqin, and the minimum amount of consideration permitted by PRC law, and Kingsoft Digital granted Beijing Kingsoft Cloud or its designee an option to purchase its equity interest in Zhuhai Kingsoft Cloud at a price equal to the higher of RMB1 and the minimum amount of consideration permitted by PRC law. Ms. Weiqin Qiu and Kingsoft Digital also granted Beijing Kingsoft Cloud or its designee an option to purchase all or a portion of the assets of Zhuhai Kingsoft Cloud for the minimum amount of consideration permitted by PRC law. Ms. Weiqin Qiu and Kingsoft Digital also agreed not to transfer or mortgage any equity interest in or dispose of or cause the management to dispose of any material assets of Zhuhai Kingsoft Cloud without the prior written consent of Beijing Kingsoft Cloud. The exclusive purchase option agreement shall remain in effect until all of the equity interests in Zhuhai Kingsoft Cloud have been acquired by Beijing Kingsoft Cloud or its designee.</w:t>
      </w:r>
    </w:p>
    <w:p>
      <w:pPr>
        <w:spacing w:after="0" w:line="18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an exclusive purchase option agreement with Yunxiang Zhisheng, which was later amended and supplemented on November 29, 2019 and contains terms substantially similar to the exclusive purchase option agreement described above.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Voting Right Trust Agreement</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Ms. Weiqin Qiu and Kingsoft Digital, the shareholders of Zhuhai Kingsoft Cloud, entered into a shareholder voting right trust agreement with Beijing Kingsoft Cloud on June 20, 2014, which was later amended and supplemented on November 29, 2019. Under the shareholder voting right trust agreement, Ms. Weiqin Qiu and Kingsoft Digital agreed to irrevocably entrust a person designated by Beijing Kingsoft Cloud to represent them to exercise all the voting rights and other shareholders’ rights to which they are entitled as shareholders of Zhuhai Kingsoft Cloud. The shareholder voting right trust agreement shall remain effective from the date of such agreement for as long as Ms. Weiqin Qiu and Kingsoft Digital remain the shareholders of Zhuhai Kingsoft Cloud, unless Beijing Kingsoft Cloud otherwise decides to terminate or amend this agreement.</w:t>
      </w:r>
    </w:p>
    <w:p>
      <w:pPr>
        <w:spacing w:after="0" w:line="178"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On July 18, 2018, Mr. Yulin Wang and Ms. Weiqin Qiu entered into a shareholder voting right trust agreement with Yunxiang Zhisheng, which was later amended and supplemented on November 29, 2019 and contains terms substantially similar to the shareholder voting right trust agreement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Spousal Consents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spouses of individual shareholders of Zhuhai Kingsoft Cloud and Kingsoft Cloud Information have each signed a spousal consent letter. Under the spousal consent letter, the signing spouse unconditionally and irrevocably agreed that the equity interest in Zhuhai Kingsoft Cloud or Kingsoft Cloud Information which is held by and registered under the name of his or her spouse will be disposed of pursuant to the abovementioned loan agreements, equity pledge agreements, exclusive purchase option agreements and the shareholder voting rights trust agreements. Moreover, the spouse confirmed he or she has no rights, and will not assert in the future any right, over the equity interests in Zhuhai Kingsoft Cloud or Kingsoft Cloud Information held by his or her spouse. In addition, in the event that the spouse obtains any equity interest in Zhuhai Kingsoft Cloud or Kingsoft Cloud Information held by his or her spouse for any reason, he or she agrees to be bound by and sign any legal documents substantially similar to the contractual arrangements entered into by his or her spouse, as may be amended from time to time.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opinion of Fangda Partners, our PRC legal counsel:</w:t>
      </w:r>
    </w:p>
    <w:p>
      <w:pPr>
        <w:spacing w:after="0" w:line="131" w:lineRule="exact"/>
        <w:rPr>
          <w:sz w:val="20"/>
          <w:szCs w:val="20"/>
          <w:color w:val="auto"/>
        </w:rPr>
      </w:pPr>
    </w:p>
    <w:p>
      <w:pPr>
        <w:ind w:left="1080" w:right="26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structures of Beijing Kingsoft Cloud, Zhuhai Kingsoft Cloud, Yunxiang Zhisheng, and Kingsoft Cloud Information, both currently and immediately after giving effect to the offering, do not and will not violate any applicable PRC laws, regulations, or rules currently in effect;</w:t>
      </w:r>
    </w:p>
    <w:p>
      <w:pPr>
        <w:spacing w:after="0" w:line="89" w:lineRule="exact"/>
        <w:rPr>
          <w:rFonts w:ascii="Arial" w:cs="Arial" w:eastAsia="Arial" w:hAnsi="Arial"/>
          <w:sz w:val="18"/>
          <w:szCs w:val="18"/>
          <w:color w:val="auto"/>
        </w:rPr>
      </w:pPr>
    </w:p>
    <w:p>
      <w:pPr>
        <w:ind w:left="1080" w:right="220" w:hanging="424"/>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agreements among Beijing Kingsoft Cloud, Zhuhai Kingsoft Cloud and its shareholders, Yunxiang Zhisheng, Kingsoft Cloud Information and its shareholders governed by PRC laws, as described above, are valid, binding and enforceable in accordance with their terms and applicable PRC laws, rules, and regulations currently in effect, and both currently and immediately after giving effect to the offering, do not and will not violate any applicable PRC laws, regulations, or rules currently in effect.</w:t>
      </w:r>
    </w:p>
    <w:p>
      <w:pPr>
        <w:spacing w:after="0" w:line="17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However, there are substantial uncertainties regarding the interpretation and application of current or future PRC laws and regulations. We have been further advised by our PRC legal counsel that if the PRC government finds that the agreements that establish the structure for operating our value-added telecommunication services and related business do not comply with PRC government restrictions on foreign investment in such businesses, we could be subject to severe penalties including being prohibited from continuing operations. For a description of the risks related to these contractual arrangements and our corporate structure, please see “Risk Factors—Risks Relating to Our Corporate Structure.”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Support Undertaking Letter</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executed a financial support undertaking letter addressed to Zhuhai Kingsoft Cloud and Kingsoft Cloud Information, pursuant to which we undertake to provide unlimited financial support to Zhuhai Kingsoft Cloud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and Kingsoft Cloud Information to the extent permissible under the applicable PRC laws and regulations, whether or not any operational loss is actually incurred. The form of financial support shall include, but not limited to, extension of cash, entrusted loans and borrowings. We will not request repayment of the loans or borrowings if Zhuhai Kingsoft Cloud and Kingsoft Cloud Information or their shareholders do not have sufficient funds or are unable to repay.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expect to provide the financial support if and when required with a portion of the proceeds from this offering and proceeds from the issuance of equity or debt securities in the future.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 Stock Exchange Matters of Kingsoft</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Under Practice Note 15 of the Rules Governing the Listing of Securities of the Stock Exchange of Hong Kong Limited, this offering is deemed a “spin-off” transaction by Kingsoft Group for which Kingsoft Group requires approval by the Hong Kong Stock Exchange. On December 20, 2019, the Hong Kong Stock Exchange confirmed that Kingsoft Group may proceed with the “spin-off” transaction. Pursuant to Practice Note 15, Kingsoft Group must make available to its shareholders an “assured entitlement” to a certain portion of our shares.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As our ordinary shares are not expected to be listed on any stock exchange, Kingsoft Group intends to effect the Assured Entitlement Distribution by providing to its shareholders a “distribution in specie”. The distribution will be made without any consideration being paid by Kingsoft Group’s shareholders. Kingsoft Group’s shareholders who are entitled to fractional ADSs, who elect to receive cash in lieu of ADSs, who are located in the United States or are U.S. persons, or are otherwise ineligible holders, will only receive cash in the Assured Entitlement Distribution.</w:t>
      </w:r>
    </w:p>
    <w:p>
      <w:pPr>
        <w:spacing w:after="0" w:line="15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Kingsoft Group currently intends to provide an assured entitlement with an aggregate of approximately 0.35% to 0.50% of the total issued shares of us upon completion of this offering. The Assured Entitlement Distribution will only be made if this offering is completed. The distribution in specie of ADSs by Kingsoft Group is not part of this offering.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following selected consolidated statements of operations for the years ended December 31, 2017, 2018 and 2019, selected consolidated balance sheet data as of December 31, 2018 and 2019 and selected consolidated cash flow data for the years ended December 31, 2017, 2018 and 2019 have been derived from our audited consolidated financial statements included elsewhere in this prospectus. Our consolidated financial statements are prepared and presented in accordance with U.S. GAAP. Our historical results are not necessarily indicative of results expected for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9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RMB</w:t>
            </w:r>
          </w:p>
        </w:tc>
        <w:tc>
          <w:tcPr>
            <w:tcW w:w="54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06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RMB</w:t>
            </w:r>
          </w:p>
        </w:tc>
        <w:tc>
          <w:tcPr>
            <w:tcW w:w="46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RMB</w:t>
            </w:r>
          </w:p>
        </w:tc>
        <w:tc>
          <w:tcPr>
            <w:tcW w:w="110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US$</w:t>
            </w:r>
          </w:p>
        </w:tc>
        <w:tc>
          <w:tcPr>
            <w:tcW w:w="42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gridSpan w:val="11"/>
          </w:tcPr>
          <w:p>
            <w:pPr>
              <w:jc w:val="right"/>
              <w:ind w:right="640"/>
              <w:spacing w:after="0"/>
              <w:rPr>
                <w:sz w:val="20"/>
                <w:szCs w:val="20"/>
                <w:color w:val="auto"/>
              </w:rPr>
            </w:pPr>
            <w:r>
              <w:rPr>
                <w:rFonts w:ascii="Arial" w:cs="Arial" w:eastAsia="Arial" w:hAnsi="Arial"/>
                <w:sz w:val="14"/>
                <w:szCs w:val="14"/>
                <w:b w:val="1"/>
                <w:bCs w:val="1"/>
                <w:color w:val="auto"/>
                <w:w w:val="91"/>
              </w:rPr>
              <w:t>(in thousands, except for percentages, shares and per share data)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Consolidated Statements of Operation: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Public cloud services</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1,202,485</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97.3</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2,110,513</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95.1</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3,458,843</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496,832</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48"/>
        </w:trPr>
        <w:tc>
          <w:tcPr>
            <w:tcW w:w="4820" w:type="dxa"/>
            <w:vAlign w:val="bottom"/>
          </w:tcPr>
          <w:p>
            <w:pPr>
              <w:ind w:left="280"/>
              <w:spacing w:after="0" w:line="149" w:lineRule="exact"/>
              <w:rPr>
                <w:sz w:val="20"/>
                <w:szCs w:val="20"/>
                <w:color w:val="auto"/>
              </w:rPr>
            </w:pPr>
            <w:r>
              <w:rPr>
                <w:rFonts w:ascii="Arial" w:cs="Arial" w:eastAsia="Arial" w:hAnsi="Arial"/>
                <w:sz w:val="14"/>
                <w:szCs w:val="14"/>
                <w:color w:val="auto"/>
              </w:rPr>
              <w:t>Enterprise cloud services</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15,271</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94,369</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486,308</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69,854</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Others</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18,211</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13,290</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11,202</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1,609</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3"/>
        </w:trPr>
        <w:tc>
          <w:tcPr>
            <w:tcW w:w="4820" w:type="dxa"/>
            <w:vAlign w:val="bottom"/>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1,235,967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w w:val="86"/>
              </w:rPr>
              <w:t>2,218,172</w:t>
            </w: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3,956,353</w:t>
            </w:r>
          </w:p>
        </w:tc>
        <w:tc>
          <w:tcPr>
            <w:tcW w:w="2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568,295</w:t>
            </w:r>
          </w:p>
        </w:tc>
        <w:tc>
          <w:tcPr>
            <w:tcW w:w="2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(1,354,153)</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(109.6)</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(2,418,562)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(109.0)</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(3,948,644)</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(567,187)</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(99.8)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Gross (loss)/profit</w:t>
            </w: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(118,186)</w:t>
            </w: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(9.6)</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(200,390)</w:t>
            </w:r>
          </w:p>
        </w:tc>
        <w:tc>
          <w:tcPr>
            <w:tcW w:w="200" w:type="dxa"/>
            <w:vAlign w:val="bottom"/>
            <w:vMerge w:val="continue"/>
          </w:tcPr>
          <w:p>
            <w:pPr>
              <w:spacing w:after="0"/>
              <w:rPr>
                <w:sz w:val="13"/>
                <w:szCs w:val="13"/>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(9.0)</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7,709</w:t>
            </w:r>
          </w:p>
        </w:tc>
        <w:tc>
          <w:tcPr>
            <w:tcW w:w="22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1,108</w:t>
            </w:r>
          </w:p>
        </w:tc>
        <w:tc>
          <w:tcPr>
            <w:tcW w:w="22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0.2</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(115,861)</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(191,671)</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(317,426)</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(45,595)</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(93,649)</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(146,846)</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(238,648)</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(34,280)</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(399,209)</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(32.3)</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(440,518)</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(595,169)</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(85,491)</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(608,719)</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(49.3)</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(779,035)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(35.1)</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(1,151,243)</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(165,366)</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(29.1)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(726,905)</w:t>
            </w: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(58.8)</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(979,425)</w:t>
            </w:r>
          </w:p>
        </w:tc>
        <w:tc>
          <w:tcPr>
            <w:tcW w:w="200" w:type="dxa"/>
            <w:vAlign w:val="bottom"/>
            <w:vMerge w:val="continue"/>
          </w:tcPr>
          <w:p>
            <w:pPr>
              <w:spacing w:after="0"/>
              <w:rPr>
                <w:sz w:val="13"/>
                <w:szCs w:val="13"/>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(44.2)</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(1,143,534)</w:t>
            </w:r>
          </w:p>
        </w:tc>
        <w:tc>
          <w:tcPr>
            <w:tcW w:w="22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(164,258)</w:t>
            </w:r>
          </w:p>
        </w:tc>
        <w:tc>
          <w:tcPr>
            <w:tcW w:w="22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(28.9)</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19,628</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116,500</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78,612</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11,292</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(36,410)</w:t>
            </w: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(38,826)</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(4,925)</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(707)</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gain/(loss)</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25,863</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(102,202)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(38,961)</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(5,596)</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Changes in fair value of financial instruments</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3,016</w:t>
            </w: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6,404</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1,226</w:t>
            </w: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739</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6,612</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(713,582)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(57.7)</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(996,810)</w:t>
            </w:r>
          </w:p>
        </w:tc>
        <w:tc>
          <w:tcPr>
            <w:tcW w:w="2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(44.9)</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(1,102,196)</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(158,319)</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(9,632)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(9,003)</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(1,293)</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(714,250)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(57.8)</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(1,006,442)</w:t>
            </w:r>
          </w:p>
        </w:tc>
        <w:tc>
          <w:tcPr>
            <w:tcW w:w="2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(45.3)</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(1,111,199)</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(159,612)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to redemption value of redeemable convertible preferred shares</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(605,515)</w:t>
            </w: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(742,472)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(33.5)</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(49,725)</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(7,143)</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Arial" w:cs="Arial" w:eastAsia="Arial" w:hAnsi="Arial"/>
                <w:sz w:val="14"/>
                <w:szCs w:val="14"/>
                <w:b w:val="1"/>
                <w:bCs w:val="1"/>
                <w:color w:val="auto"/>
              </w:rPr>
              <w:t>Net loss attributable to ordinary shareholders</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(1,319,765)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(106.8)</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(1,748,914)</w:t>
            </w:r>
          </w:p>
        </w:tc>
        <w:tc>
          <w:tcPr>
            <w:tcW w:w="2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(78.8)</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(1,160,924)</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(166,755)</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earnings per share:</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(0.19)</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Shares used in the net loss per share computation:</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793,430,000</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793,430,000</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889,521,200</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889,521,200</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comprehensive (loss)/income, net of tax of nil:</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(89,414)</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401,820</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64,598</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9,279</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Comprehensive loss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(803,664)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(604,662)</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(1,046,601)</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(150,333)</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tcPr>
          <w:p>
            <w:pPr>
              <w:spacing w:after="0" w:line="149" w:lineRule="exact"/>
              <w:rPr>
                <w:sz w:val="20"/>
                <w:szCs w:val="20"/>
                <w:color w:val="auto"/>
              </w:rPr>
            </w:pPr>
            <w:r>
              <w:rPr>
                <w:rFonts w:ascii="Arial" w:cs="Arial" w:eastAsia="Arial" w:hAnsi="Arial"/>
                <w:sz w:val="14"/>
                <w:szCs w:val="14"/>
                <w:color w:val="auto"/>
              </w:rPr>
              <w:t>Accretion to redemption value of redeemable convertible preferred shares</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(605,515)</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(742,472)</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(49,725)</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(7,143)</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loss attributable to ordinary shareholders</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(1,409,179)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(1,347,094)</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(1,096,326)</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(157,476)</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80" w:type="dxa"/>
            <w:vAlign w:val="bottom"/>
          </w:tcPr>
          <w:p>
            <w:pPr>
              <w:spacing w:after="0"/>
              <w:rPr>
                <w:sz w:val="20"/>
                <w:szCs w:val="20"/>
                <w:color w:val="auto"/>
              </w:rPr>
            </w:pPr>
            <w:r>
              <w:rPr>
                <w:rFonts w:ascii="Arial" w:cs="Arial" w:eastAsia="Arial" w:hAnsi="Arial"/>
                <w:sz w:val="14"/>
                <w:szCs w:val="14"/>
                <w:color w:val="auto"/>
              </w:rPr>
              <w:t>Note:</w:t>
            </w:r>
          </w:p>
        </w:tc>
        <w:tc>
          <w:tcPr>
            <w:tcW w:w="7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0"/>
        </w:trPr>
        <w:tc>
          <w:tcPr>
            <w:tcW w:w="380" w:type="dxa"/>
            <w:vAlign w:val="bottom"/>
          </w:tcPr>
          <w:p>
            <w:pPr>
              <w:spacing w:after="0"/>
              <w:rPr>
                <w:sz w:val="20"/>
                <w:szCs w:val="20"/>
                <w:color w:val="auto"/>
              </w:rPr>
            </w:pPr>
            <w:r>
              <w:rPr>
                <w:rFonts w:ascii="Arial" w:cs="Arial" w:eastAsia="Arial" w:hAnsi="Arial"/>
                <w:sz w:val="14"/>
                <w:szCs w:val="14"/>
                <w:color w:val="auto"/>
              </w:rPr>
              <w:t>(1)</w:t>
            </w:r>
          </w:p>
        </w:tc>
        <w:tc>
          <w:tcPr>
            <w:tcW w:w="7980" w:type="dxa"/>
            <w:vAlign w:val="bottom"/>
          </w:tcPr>
          <w:p>
            <w:pPr>
              <w:ind w:left="40"/>
              <w:spacing w:after="0"/>
              <w:rPr>
                <w:sz w:val="20"/>
                <w:szCs w:val="20"/>
                <w:color w:val="auto"/>
              </w:rPr>
            </w:pPr>
            <w:r>
              <w:rPr>
                <w:rFonts w:ascii="Arial" w:cs="Arial" w:eastAsia="Arial" w:hAnsi="Arial"/>
                <w:sz w:val="14"/>
                <w:szCs w:val="14"/>
                <w:color w:val="auto"/>
              </w:rPr>
              <w:t>Share-based compensation expense was allocated as follows:</w:t>
            </w: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77"/>
        </w:trPr>
        <w:tc>
          <w:tcPr>
            <w:tcW w:w="3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66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42"/>
        </w:trPr>
        <w:tc>
          <w:tcPr>
            <w:tcW w:w="38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8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RMB</w:t>
            </w: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142"/>
        </w:trPr>
        <w:tc>
          <w:tcPr>
            <w:tcW w:w="38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8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6,551</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3,565</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8,509</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1,222</w:t>
            </w:r>
          </w:p>
        </w:tc>
      </w:tr>
      <w:tr>
        <w:trPr>
          <w:trHeight w:val="149"/>
        </w:trPr>
        <w:tc>
          <w:tcPr>
            <w:tcW w:w="8360" w:type="dxa"/>
            <w:vAlign w:val="bottom"/>
            <w:gridSpan w:val="2"/>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12,618</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5,889</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37,808</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5,431</w:t>
            </w:r>
          </w:p>
        </w:tc>
      </w:tr>
      <w:tr>
        <w:trPr>
          <w:trHeight w:val="148"/>
        </w:trPr>
        <w:tc>
          <w:tcPr>
            <w:tcW w:w="8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25,741</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11,167</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31,988</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4,595</w:t>
            </w:r>
          </w:p>
        </w:tc>
      </w:tr>
      <w:tr>
        <w:trPr>
          <w:trHeight w:val="148"/>
        </w:trPr>
        <w:tc>
          <w:tcPr>
            <w:tcW w:w="8360" w:type="dxa"/>
            <w:vAlign w:val="bottom"/>
            <w:gridSpan w:val="2"/>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46,099</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26,320</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42,974</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6,173</w:t>
            </w:r>
          </w:p>
        </w:tc>
      </w:tr>
      <w:tr>
        <w:trPr>
          <w:trHeight w:val="27"/>
        </w:trPr>
        <w:tc>
          <w:tcPr>
            <w:tcW w:w="3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9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91,009</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46,941</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121,279</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17,421</w:t>
            </w:r>
          </w:p>
        </w:tc>
      </w:tr>
      <w:tr>
        <w:trPr>
          <w:trHeight w:val="20"/>
        </w:trPr>
        <w:tc>
          <w:tcPr>
            <w:tcW w:w="3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summary consolidated balance sheet data as of December 31, 2018 and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168"/>
              <w:spacing w:after="0"/>
              <w:rPr>
                <w:sz w:val="20"/>
                <w:szCs w:val="20"/>
                <w:color w:val="auto"/>
              </w:rPr>
            </w:pPr>
            <w:r>
              <w:rPr>
                <w:rFonts w:ascii="Arial" w:cs="Arial" w:eastAsia="Arial" w:hAnsi="Arial"/>
                <w:sz w:val="14"/>
                <w:szCs w:val="14"/>
                <w:b w:val="1"/>
                <w:bCs w:val="1"/>
                <w:color w:val="auto"/>
                <w:w w:val="90"/>
              </w:rPr>
              <w:t>As of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9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6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288"/>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28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Summary Consolidated Balance Sheet Data: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1,507,071</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color w:val="auto"/>
              </w:rPr>
              <w:t>2,023,263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290,624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541,584</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1,347,481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193,554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2,208,105</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color w:val="auto"/>
              </w:rPr>
              <w:t>225,425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32,380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4,734,409</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4,149,739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596,074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1,043,155</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color w:val="auto"/>
              </w:rPr>
              <w:t>1,720,974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247,202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5,859,199</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6,031,821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866,418</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720,805</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color w:val="auto"/>
              </w:rPr>
              <w:t>1,254,589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180,210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423,634</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949,213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136,346</w:t>
            </w: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1,436,887</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2,419,991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347,610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1,756,622</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2,494,548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358,320</w:t>
            </w: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7,345,688</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7,734,532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1,110,997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(3,243,111)</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(4,197,259)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(602,899)</w:t>
            </w:r>
          </w:p>
        </w:tc>
      </w:t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5,859,199</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6,031,821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866,418</w:t>
            </w:r>
          </w:p>
        </w:tc>
      </w:tr>
    </w:tbl>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summary consolidated cash flow data for the years ended December 31, 2017, 2018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4"/>
              </w:rPr>
              <w:t>For the Year Ended December 31,</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08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(134,527)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(383,110)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(439,132)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(63,074)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(1,820,636)</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(1,173,559)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883,247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126,870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2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1,861,177</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2,435,832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7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879,163</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508,622</w:t>
            </w: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2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706,012</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573,437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1,507,071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216,477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w w:val="97"/>
              </w:rPr>
              <w:t>Effect of exchange rate changes on cash and cash equivalents</w:t>
            </w:r>
          </w:p>
        </w:tc>
        <w:tc>
          <w:tcPr>
            <w:tcW w:w="17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(38,589)</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54,471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7,570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2,023,263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290,624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80" w:type="dxa"/>
            <w:vAlign w:val="bottom"/>
            <w:vMerge w:val="restart"/>
          </w:tcPr>
          <w:p>
            <w:pPr>
              <w:jc w:val="right"/>
              <w:ind w:right="1010"/>
              <w:spacing w:after="0"/>
              <w:rPr>
                <w:sz w:val="20"/>
                <w:szCs w:val="20"/>
                <w:color w:val="auto"/>
              </w:rPr>
            </w:pPr>
            <w:r>
              <w:rPr>
                <w:rFonts w:ascii="Arial" w:cs="Arial" w:eastAsia="Arial" w:hAnsi="Arial"/>
                <w:sz w:val="18"/>
                <w:szCs w:val="18"/>
                <w:color w:val="auto"/>
              </w:rPr>
              <w:t>87</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evaluating our business, we consider and use certain non-GAAP measures, adjusted gross (loss)/profit, adjusted gross margin, adjusted EBITDA and adjusted EDITDA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define adjusted gross (loss)/profit as gross (loss)/profit excluding share-based compensation allocated in the cost of revenues, and we define adjusted gross margin as adjusted gross (loss)/profit as a percentage of revenues. We define adjusted net loss as net loss excluding share-based compensation, foreign exchange (gain)/loss, changes in fair value of financial instruments and other (income)/expense, net. We define adjusted EBITDA as adjusted net loss excluding interest income, interest expense, income tax expense and depreciation and amortization, and we define adjusted EBITDA margin as adjusted EBITDA as a percentage of revenues.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18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7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following tables reconcile our adjusted gross (loss)/profit, adjusted net loss and adjusted EBITDA in 2017, 2018 and 2019 to the most directly comparable financial measure calculated and presented in accordance with U.S. GAAP, which are gross (loss)/profit and net loss:</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left="268"/>
              <w:spacing w:after="0"/>
              <w:rPr>
                <w:sz w:val="20"/>
                <w:szCs w:val="20"/>
                <w:color w:val="auto"/>
              </w:rPr>
            </w:pPr>
            <w:r>
              <w:rPr>
                <w:rFonts w:ascii="Arial" w:cs="Arial" w:eastAsia="Arial" w:hAnsi="Arial"/>
                <w:sz w:val="14"/>
                <w:szCs w:val="14"/>
                <w:b w:val="1"/>
                <w:bCs w:val="1"/>
                <w:color w:val="auto"/>
                <w:w w:val="93"/>
              </w:rPr>
              <w:t>For the Year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020" w:type="dxa"/>
            <w:vAlign w:val="bottom"/>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left="18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3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(118,186)</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(200,390)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1,108</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Adjustments: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Share-based compensation (allocated in cost of revenues)</w:t>
            </w:r>
          </w:p>
        </w:tc>
        <w:tc>
          <w:tcPr>
            <w:tcW w:w="3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6,551</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6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Adjusted gross (loss)/profit</w:t>
            </w:r>
          </w:p>
        </w:tc>
        <w:tc>
          <w:tcPr>
            <w:tcW w:w="24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(111,635)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(196,825)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16,218</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3"/>
              </w:rPr>
              <w:t>For the 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960" w:type="dxa"/>
            <w:vAlign w:val="bottom"/>
          </w:tcPr>
          <w:p>
            <w:pPr>
              <w:spacing w:after="0"/>
              <w:rPr>
                <w:sz w:val="12"/>
                <w:szCs w:val="12"/>
                <w:color w:val="auto"/>
              </w:rPr>
            </w:pPr>
          </w:p>
        </w:tc>
        <w:tc>
          <w:tcPr>
            <w:tcW w:w="2600" w:type="dxa"/>
            <w:vAlign w:val="bottom"/>
            <w:gridSpan w:val="2"/>
          </w:tcPr>
          <w:p>
            <w:pPr>
              <w:spacing w:after="0"/>
              <w:rPr>
                <w:sz w:val="12"/>
                <w:szCs w:val="12"/>
                <w:color w:val="auto"/>
              </w:rPr>
            </w:pPr>
          </w:p>
        </w:tc>
        <w:tc>
          <w:tcPr>
            <w:tcW w:w="5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3160" w:type="dxa"/>
            <w:vAlign w:val="bottom"/>
            <w:gridSpan w:val="3"/>
            <w:shd w:val="clear" w:color="auto" w:fill="CCEEFF"/>
          </w:tcPr>
          <w:p>
            <w:pPr>
              <w:ind w:left="2660"/>
              <w:spacing w:after="0"/>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w:t>
            </w: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3160" w:type="dxa"/>
            <w:vAlign w:val="bottom"/>
            <w:gridSpan w:val="3"/>
          </w:tcPr>
          <w:p>
            <w:pPr>
              <w:ind w:left="2660"/>
              <w:spacing w:after="0"/>
              <w:rPr>
                <w:sz w:val="20"/>
                <w:szCs w:val="20"/>
                <w:color w:val="auto"/>
              </w:rPr>
            </w:pPr>
            <w:r>
              <w:rPr>
                <w:rFonts w:ascii="Arial" w:cs="Arial" w:eastAsia="Arial" w:hAnsi="Arial"/>
                <w:sz w:val="18"/>
                <w:szCs w:val="18"/>
                <w:b w:val="1"/>
                <w:bCs w:val="1"/>
                <w:color w:val="auto"/>
              </w:rPr>
              <w:t>(9.0)</w:t>
            </w:r>
          </w:p>
        </w:tc>
        <w:tc>
          <w:tcPr>
            <w:tcW w:w="8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0.4</w:t>
            </w:r>
          </w:p>
        </w:tc>
      </w:tr>
      <w:tr>
        <w:trPr>
          <w:trHeight w:val="346"/>
        </w:trPr>
        <w:tc>
          <w:tcPr>
            <w:tcW w:w="4960" w:type="dxa"/>
            <w:vAlign w:val="bottom"/>
          </w:tcPr>
          <w:p>
            <w:pPr>
              <w:spacing w:after="0"/>
              <w:rPr>
                <w:sz w:val="24"/>
                <w:szCs w:val="24"/>
                <w:color w:val="auto"/>
              </w:rPr>
            </w:pPr>
          </w:p>
        </w:tc>
        <w:tc>
          <w:tcPr>
            <w:tcW w:w="2400" w:type="dxa"/>
            <w:vAlign w:val="bottom"/>
          </w:tcPr>
          <w:p>
            <w:pPr>
              <w:jc w:val="right"/>
              <w:ind w:right="167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4"/>
              </w:rPr>
              <w:t>For the Year Ended 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(714,250)</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(1,006,442)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(1,111,199)</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(159,612)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Adjustment:</w:t>
            </w:r>
          </w:p>
        </w:tc>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91,009</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46,941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121,279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17,421</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Foreign exchange (gain)/loss</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(25,863)</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102,202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38,961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5,596</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of financial instruments</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(6,404)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(1,226)</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(739)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(6,612)</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(950)</w:t>
            </w:r>
          </w:p>
        </w:tc>
      </w:tr>
      <w:tr>
        <w:trPr>
          <w:trHeight w:val="27"/>
        </w:trPr>
        <w:tc>
          <w:tcPr>
            <w:tcW w:w="4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2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(653,346)</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(864,442)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(957,571)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(137,545)</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Adjustments:</w:t>
            </w:r>
          </w:p>
        </w:tc>
        <w:tc>
          <w:tcPr>
            <w:tcW w:w="21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(19,628)</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(116,500)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(78,612)</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(11,292)</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36,410</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38,826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9,632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297,647</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412,352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604,581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86,843</w:t>
            </w:r>
          </w:p>
        </w:tc>
        <w:tc>
          <w:tcPr>
            <w:tcW w:w="120" w:type="dxa"/>
            <w:vAlign w:val="bottom"/>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(338,249)</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(520,132)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(417,674)</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(59,994)</w:t>
            </w:r>
          </w:p>
        </w:tc>
      </w:tr>
      <w:tr>
        <w:trPr>
          <w:trHeight w:val="20"/>
        </w:trPr>
        <w:tc>
          <w:tcPr>
            <w:tcW w:w="4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4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4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margin</w:t>
            </w:r>
          </w:p>
        </w:tc>
        <w:tc>
          <w:tcPr>
            <w:tcW w:w="2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(57.8)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(28.1)</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Adjusted net loss margin</w:t>
            </w:r>
          </w:p>
        </w:tc>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580"/>
              <w:spacing w:after="0"/>
              <w:rPr>
                <w:sz w:val="20"/>
                <w:szCs w:val="20"/>
                <w:color w:val="auto"/>
              </w:rPr>
            </w:pPr>
            <w:r>
              <w:rPr>
                <w:rFonts w:ascii="Arial" w:cs="Arial" w:eastAsia="Arial" w:hAnsi="Arial"/>
                <w:sz w:val="18"/>
                <w:szCs w:val="18"/>
                <w:b w:val="1"/>
                <w:bCs w:val="1"/>
                <w:color w:val="auto"/>
              </w:rPr>
              <w:t>(52.9)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2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(27.4)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w:t>
            </w:r>
          </w:p>
        </w:tc>
      </w:tr>
      <w:tr>
        <w:trPr>
          <w:trHeight w:val="365"/>
        </w:trPr>
        <w:tc>
          <w:tcPr>
            <w:tcW w:w="4520" w:type="dxa"/>
            <w:vAlign w:val="bottom"/>
          </w:tcPr>
          <w:p>
            <w:pPr>
              <w:spacing w:after="0"/>
              <w:rPr>
                <w:sz w:val="24"/>
                <w:szCs w:val="24"/>
                <w:color w:val="auto"/>
              </w:rPr>
            </w:pPr>
          </w:p>
        </w:tc>
        <w:tc>
          <w:tcPr>
            <w:tcW w:w="2180" w:type="dxa"/>
            <w:vAlign w:val="bottom"/>
          </w:tcPr>
          <w:p>
            <w:pPr>
              <w:jc w:val="right"/>
              <w:ind w:right="1010"/>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are the largest independent cloud service provider in China, according to Frost &amp; Sullivan. We have built a comprehensive and reliable cloud platform consisting of extensive cloud infrastructure, cutting-edge cloud products and well-architected industry-specific solutions across public cloud, enterprise cloud and AIoT cloud services, based on which we have achieved a leading position in the cloud market in China.</w:t>
      </w:r>
    </w:p>
    <w:p>
      <w:pPr>
        <w:spacing w:after="0" w:line="16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Being an independently operated company, focusing on cloud services since our inception, we are able to fully mobilize our resources into the innovation of our business models and provide high-quality services to businesses and organizations of all kind. With our full dedication to cloud business, we are able to avoid potential conflicts of interest with our customers and enhance our neutral position, which in turn gains additional trust from more and more customers.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Leveraging our profound industry insights, we saw significant growth prospects in selected verticals, such as game, video and financial services. We have strategically expanded our footprints into such fast-growing verticals as first-movers and have established a leading market position through relentless execution. We have inherited the “enterprise service DNA” from Kingsoft Group, the widely trusted leading software franchise in China, and have established superior enterprise service capabilities. Benefiting from Kingsoft Group’s over 30 years of experience in providing enterprise services, we value each customer and provide best-in-class customer services covering their entire life-cycle. Such customer-centric service philosophy enables us to achieve increasing brand recognition, a loyal customer base while improving unit economics. We also adopt a premium-customer strategy, focusing on leading enterprises within selected verticals to establish our market presence efficiently. The total number of our Premium Customers increased from 113 in 2017 to 154 in 2018, and further to 243 in 2019. In 2018 and 2019, our net dollar retention rate of Public Cloud Service Premium Customers was 161% and 155%, respectively.</w:t>
      </w:r>
    </w:p>
    <w:p>
      <w:pPr>
        <w:spacing w:after="0" w:line="18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We enjoy a skilled talent pool and will continue to invest in research and development to enhance our technology leadership and upgrade our cloud solutions. As of December 31, 2019, our research and development team consisted of 1,150 engineers, researchers, programmers and computer and data scientists, accounting for 62% of our total employees.</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Attributable to the above, we have achieved superior growth. Our revenues increased by 79.5% from RMB1,236.0 million in 2017 to RMB2,218.2 million in 2018, and further increased by 78.4% to RMB3,956.4 million (US$568.3 million) in 2019. We have incurred gross loss of RMB118.2 million and RMB200.4 million in 2017 and 2018, respectively, and generated gross profit of RMB7.7 million (US$1.1 million) in 2019. We have incurred net loss of RMB714.3 million, RMB1,006.4 million and RMB1,111.2 million (US$159.6 million) in 2017, 2018 and 2019,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adopt a premium-customer strategy, focusing on leading enterprises in selected verticals to establish market presence efficiently. Our total revenues generated from Premium Customers amounted to RMB1,158.5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million, RMB2,114.2 million and RMB3,853.3 million (US$553.5 million) in 2017, 2018 and 2019, respectively, accounting for 93.7%, 95.3% and 97.4% of our total revenues in the same periods, respectively. Specifically, our total revenues generated from Public Cloud Service Premium Customers amounted to RMB1,144.4 million, RMB2,021.3 million and RMB3,358.5 million (US$482.4 million) in 2017, 2018 and 2019, respectively, accounting for 95.2%, 95.8% and 97.1% of our total public cloud service revenues in the same periods, respectively. Our total revenues generated from Enterprise Cloud Service Premium Customers amounted to RMB14.1 million, RMB92.9 million and RMB481.0 million (US$69.1 million) in 2017, 2018 and 2019, respectively, accounting for 92.7%, 98.4% and 98.9% of our total enterprise cloud service revenues in the same periods, respectively. Therefore, we regularly review a number of key operating metrics in relation to our Premium Customers as presented in the table below to evaluate our business and measure our performance. We believe these metrics are indicative of our overall business and performance. The calculation of the key metrics and other measures discussed below may differ from other similarly titled metrics used by other companies, securities analysts or investors.</w:t>
      </w:r>
    </w:p>
    <w:p>
      <w:pPr>
        <w:spacing w:after="0" w:line="18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For the Year Ended</w:t>
      </w:r>
    </w:p>
    <w:p>
      <w:pPr>
        <w:jc w:val="center"/>
        <w:ind w:left="90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Public Cloud Services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Number of Public Cloud Service Premium Customers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dollar retention rate of Public Cloud Service Premium Customers</w:t>
            </w:r>
            <w:r>
              <w:rPr>
                <w:rFonts w:ascii="Arial" w:cs="Arial" w:eastAsia="Arial" w:hAnsi="Arial"/>
                <w:sz w:val="15"/>
                <w:szCs w:val="15"/>
                <w:color w:val="auto"/>
              </w:rPr>
              <w:t>(1)</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Enterprise Cloud Services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Enterprise Cloud Service Premium Customers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Number of Premium Customers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r>
      <w:tr>
        <w:trPr>
          <w:trHeight w:val="230"/>
        </w:trPr>
        <w:tc>
          <w:tcPr>
            <w:tcW w:w="9200" w:type="dxa"/>
            <w:vAlign w:val="bottom"/>
          </w:tcPr>
          <w:p>
            <w:pPr>
              <w:ind w:left="360"/>
              <w:spacing w:after="0"/>
              <w:rPr>
                <w:sz w:val="20"/>
                <w:szCs w:val="20"/>
                <w:color w:val="auto"/>
              </w:rPr>
            </w:pPr>
            <w:r>
              <w:rPr>
                <w:rFonts w:ascii="Arial" w:cs="Arial" w:eastAsia="Arial" w:hAnsi="Arial"/>
                <w:sz w:val="18"/>
                <w:szCs w:val="18"/>
                <w:color w:val="auto"/>
              </w:rPr>
              <w:t>Average revenues per Premium Customer (RMB in million)</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w:t>
      </w:r>
    </w:p>
    <w:p>
      <w:pPr>
        <w:spacing w:after="0" w:line="109" w:lineRule="exact"/>
        <w:rPr>
          <w:sz w:val="20"/>
          <w:szCs w:val="20"/>
          <w:color w:val="auto"/>
        </w:rPr>
      </w:pPr>
    </w:p>
    <w:p>
      <w:pPr>
        <w:ind w:left="540" w:right="240" w:hanging="424"/>
        <w:spacing w:after="0" w:line="238"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Net dollar retention rate of Public Cloud Service Premium Customers is calculated by dividing the revenues from our Public Cloud Service Premium Customers, who were also our Public Cloud Service Premium Customers in the previous year, in the indicated period by the revenues from all of our Public Cloud Service Premium Customers in the previous corresponding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factors are the principal factors that have affected and will continue to affect our business, financial condition, results of operations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Trends in China’s economic conditions and development of China’s cloud industry</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business and results of operations are significantly affected by China’s overall economic conditions and the development of China’s cloud industry. The development of the cloud industry in China is expected to be driven by massive, high-growth demand from internet verticals, increasing penetration into traditional industries and public service organizations, deployment of 5G, AI and IoT, overseas expansion of Chinese companies and favorable government policies. As a market leader, we have captured, and are likely to continue to capture, the various market opportunities brought by the development of China’s cloud industry.</w:t>
      </w:r>
    </w:p>
    <w:p>
      <w:pPr>
        <w:spacing w:after="0" w:line="188"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Nevertheless, unfavorable changes in China’s overall economy and cloud industry could negatively affect demand for our services and materially and adversely affect our results of operations. The emerging cloud industry in China is still at its early stage of development and there are considerable uncertainties about its future growth. See “Risk Factors—Risks Relating to Our Business and Industry—We operate in an emerging and evolving market. If our market does not grow as we expect, or if we fail to adapt and respond effectively to rapidly changing technology, evolving industry standards, changing regulations, and changing customer needs, requirements or preferences, our products and solutions may become less competitive.”</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retain existing customers and acquire new customers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amassed a large, premium and diversified customer base covering a wide spectrum of industry verticals. The total number of our Premium Customers increased from 113 in 2017 to 154 in 2018, and further to 243 in 2019. We have fostered strong loyalty with existing customers as a result of the high-quality cloud products and solutions offered by us, as well as our ability to deliver tangible value to customers by effectively addressing their needs.</w:t>
      </w:r>
    </w:p>
    <w:p>
      <w:pPr>
        <w:spacing w:after="0" w:line="18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aim to acquire and retain new customers by, among others, further enhancing the quality and efficiency of our existing products and solutions, offering additional innovative products and solutions and implementing effective sales strategies tailored to the verticals in which we operate. In particular, the revenue growth of our enterprise cloud services has been primarily driven by the increase in the number of our Enterprise Cloud Service Premium Customers. We also aim to continue to generate additional revenues from existing customers and seek additional cross-selling opportunities. In 2018 and 2019, our net dollar retention rate of Public Cloud Service Premium Customers was 161% and 155%,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upgrade and expand our products and solutions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have benefited from the upgrade and expansion of our products and solutions and have achieved rapid growth. Our future success is significantly dependent on our ability to further enhance the quality and expand the scope of our products and solutions. Furthermore, we seek to improve the breadth and quality of our products and solutions, and to enhance our brand recognition, which thereby will allow us to capture additional market share, enjoy better economies of scale and improve our profitability.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continue to invest in technology, talent and infrastructure</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invested, and will continue to invest, in resources to enhance the technology, infrastructure and capabilities of our products and solutions. Our ability to improve our existing cloud products and solutions and develop new ones depends on the scale of our infrastructure as well as the technologies we use to develop and deliver high-quality cloud services to customers. It is thus crucial for us to continually invest in technology and infrastructure to expand our resources and enhance capabilities of our products and solutions. We plan to continue to invest in upgrading and expanding our network infrastructure. Moreover, we plan to continue to invest in talent recruitment and training in the fields of cloud computing, big data, AIoT and blockchain to strengthen our technological advantage.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effectively control our costs and expenses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ability to manage and control our costs and expenses is critical to the success of our business. We have invested heavily in developing technology capabilities and infrastructure in order to provide comprehensive products and solutions. Also, we have been expanding into new verticals and developing new products and solutions, for example, we are capturing the market opportunity to provide enterprise cloud services to traditional industries and public service organizations. As a result, we expect our costs and expenses would increase along with the increase in our enterprise cloud revenues. While we expect our costs and expenses to increase as our business expands, we also expect them to decrease as a proportion of our revenues as we achieve more economies of scale, and higher operating efficiency.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compete effectively</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Our business and results of operations depend on our ability to compete effectively in the verticals in which we operate. Our competitive position may be affected by, among other things, the scope of our solution offerings, the quality of our solutions and our ability to price our solutions competitively. We believe that our neutrality, superior enterprise service capabilities, proprietary cutting-edge technologies and prominent research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development capabilities differentiate us from our competitors and help us establish a high entry barrier difficult for our competitors to surpass. However, we are still subject to competition from a variety of players within our industry. Increased competition could materially and adversely affect our business, financial condition and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derive our revenues from: (i) public cloud services, (ii) enterprise cloud services, and (iii) other services. The following table sets forth a breakdown of our revenues, in absolute amounts and as percentages of total revenues,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For the 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4960" w:type="dxa"/>
            <w:vAlign w:val="bottom"/>
          </w:tcPr>
          <w:p>
            <w:pPr>
              <w:spacing w:after="0"/>
              <w:rPr>
                <w:sz w:val="10"/>
                <w:szCs w:val="10"/>
                <w:color w:val="auto"/>
              </w:rPr>
            </w:pPr>
          </w:p>
        </w:tc>
        <w:tc>
          <w:tcPr>
            <w:tcW w:w="10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6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9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US$</w:t>
            </w:r>
          </w:p>
        </w:tc>
        <w:tc>
          <w:tcPr>
            <w:tcW w:w="56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thousands, except for percentages)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Public cloud services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1,202,485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2,110,513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3,458,843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496,832</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87.4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Enterprise cloud services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15,271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94,369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486,308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69,854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18,211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13,290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11,202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1,609</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1,235,967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2,218,172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3,956,353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568,295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r>
      <w:tr>
        <w:trPr>
          <w:trHeight w:val="20"/>
        </w:trPr>
        <w:tc>
          <w:tcPr>
            <w:tcW w:w="4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Public cloud services. </w:t>
      </w:r>
      <w:r>
        <w:rPr>
          <w:rFonts w:ascii="Arial" w:cs="Arial" w:eastAsia="Arial" w:hAnsi="Arial"/>
          <w:sz w:val="18"/>
          <w:szCs w:val="18"/>
          <w:color w:val="auto"/>
        </w:rPr>
        <w:t>We offer public cloud services to customers in various verticals, including, among others, game, video, AI,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mobile internet. We charge our public cloud service customers on a monthly basis based on utilization and duration. We also offer prepaid subscription package over a fixed subscription period.</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 xml:space="preserve">Enterprise cloud services. </w:t>
      </w:r>
      <w:r>
        <w:rPr>
          <w:rFonts w:ascii="Arial" w:cs="Arial" w:eastAsia="Arial" w:hAnsi="Arial"/>
          <w:sz w:val="18"/>
          <w:szCs w:val="18"/>
          <w:color w:val="auto"/>
        </w:rPr>
        <w:t>We also offer enterprise cloud services to customers engaging in the financial service, public service and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among others. We charge our enterprise cloud service customers on a project basis.</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i w:val="1"/>
          <w:iCs w:val="1"/>
          <w:color w:val="auto"/>
        </w:rPr>
        <w:t xml:space="preserve">Others. </w:t>
      </w:r>
      <w:r>
        <w:rPr>
          <w:rFonts w:ascii="Arial" w:cs="Arial" w:eastAsia="Arial" w:hAnsi="Arial"/>
          <w:sz w:val="17"/>
          <w:szCs w:val="17"/>
          <w:color w:val="auto"/>
        </w:rPr>
        <w:t>We also generate our revenues from other services, primarily including (i) advertising placement agency services, which we strategically</w:t>
      </w:r>
      <w:r>
        <w:rPr>
          <w:rFonts w:ascii="Arial" w:cs="Arial" w:eastAsia="Arial" w:hAnsi="Arial"/>
          <w:sz w:val="17"/>
          <w:szCs w:val="17"/>
          <w:i w:val="1"/>
          <w:iCs w:val="1"/>
          <w:color w:val="auto"/>
        </w:rPr>
        <w:t xml:space="preserve"> </w:t>
      </w:r>
      <w:r>
        <w:rPr>
          <w:rFonts w:ascii="Arial" w:cs="Arial" w:eastAsia="Arial" w:hAnsi="Arial"/>
          <w:sz w:val="17"/>
          <w:szCs w:val="17"/>
          <w:color w:val="auto"/>
        </w:rPr>
        <w:t>discontinued in the first quarter of 2019, and (ii) services ancillary to our other revenue streams such as AIoT solutions since 2019.</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cost of revenues primarily consist of (i) IDC costs, (ii) depreciation and amortization costs, (iii) staff costs, and (iv) other costs.</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sets forth a breakdown of our cost of revenues, in absolute amounts and as percentages of total cost of revenues,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For the 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4960" w:type="dxa"/>
            <w:vAlign w:val="bottom"/>
          </w:tcPr>
          <w:p>
            <w:pPr>
              <w:spacing w:after="0"/>
              <w:rPr>
                <w:sz w:val="10"/>
                <w:szCs w:val="10"/>
                <w:color w:val="auto"/>
              </w:rPr>
            </w:pPr>
          </w:p>
        </w:tc>
        <w:tc>
          <w:tcPr>
            <w:tcW w:w="10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6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9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US$</w:t>
            </w:r>
          </w:p>
        </w:tc>
        <w:tc>
          <w:tcPr>
            <w:tcW w:w="56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thousands, except for percentages)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IDC costs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1,033,210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1,890,499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2,856,591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410,324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72.3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costs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290,212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406,714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599,193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86,069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Staff costs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17,126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23,682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52,460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7,535</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97,667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440,400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63,259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1,354,153</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2,418,562</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3,948,644</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567,187</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IDC costs primarily consist of (i) bandwidth costs and (ii) rack costs. Depreciation and amortization costs primarily consist of depreciation and amortization of our fixed assets and intangible assets. Staff costs are payments to our technical and engineering staff, including salaries, bonuses, benefits, and share-based compensation. Other costs primarily consist of costs associated with our enterprise cloud services.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sets forth a breakdown of our operating expenses, in absolute amounts and as percentages of our total operating expenses,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Year Ended December 31,</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5380" w:type="dxa"/>
            <w:vAlign w:val="bottom"/>
          </w:tcPr>
          <w:p>
            <w:pPr>
              <w:spacing w:after="0"/>
              <w:rPr>
                <w:sz w:val="10"/>
                <w:szCs w:val="10"/>
                <w:color w:val="auto"/>
              </w:rPr>
            </w:pPr>
          </w:p>
        </w:tc>
        <w:tc>
          <w:tcPr>
            <w:tcW w:w="8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RMB</w:t>
            </w: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4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w:t>
            </w:r>
          </w:p>
        </w:tc>
        <w:tc>
          <w:tcPr>
            <w:tcW w:w="5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115,861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191,671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317,426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45,595</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93,649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146,846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238,648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34,280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399,209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440,518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595,169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85,491</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51.7</w:t>
            </w:r>
          </w:p>
        </w:tc>
      </w:tr>
      <w:tr>
        <w:trPr>
          <w:trHeight w:val="27"/>
        </w:trPr>
        <w:tc>
          <w:tcPr>
            <w:tcW w:w="5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608,719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779,035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1,151,243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165,366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r>
      <w:tr>
        <w:trPr>
          <w:trHeight w:val="20"/>
        </w:trPr>
        <w:tc>
          <w:tcPr>
            <w:tcW w:w="5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i w:val="1"/>
          <w:iCs w:val="1"/>
          <w:color w:val="auto"/>
        </w:rPr>
        <w:t>Selling and marketing expenses</w:t>
      </w:r>
      <w:r>
        <w:rPr>
          <w:rFonts w:ascii="Arial" w:cs="Arial" w:eastAsia="Arial" w:hAnsi="Arial"/>
          <w:sz w:val="17"/>
          <w:szCs w:val="17"/>
          <w:color w:val="auto"/>
        </w:rPr>
        <w:t>. Our selling and marketing expenses consist of (i) staff expenses, including salaries, commissions,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and share-based compensation paid to sales and marketing personnel, (ii) marketing and promotion expenses, and (iii) other miscellaneous expenses, primarily including office rental expenses. We expect our selling and marketing expenses to increase in the foreseeable future, as we may engage in more activities to promote our brand, retain our existing customers and attract new customers.</w:t>
      </w:r>
    </w:p>
    <w:p>
      <w:pPr>
        <w:spacing w:after="0" w:line="17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consist of (i) staff expenses, including salaries, bonuses,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and share-based compensation paid to general and administrative personnel and (ii) other expenses, primarily including depreciation and amortization expenses, office rental expenses, general operation expenses and professional service fees. We expect our general and administrative expenses to increase in the foreseeable future as we incur additional expenses as a result of operating as a public company and to meet the increased compliance requirements associated with our international expansion.</w:t>
      </w:r>
    </w:p>
    <w:p>
      <w:pPr>
        <w:spacing w:after="0" w:line="18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of (i) staff expenses, including salaries, bonuses,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and share-based compensation paid to research and development personnel, and (ii) other expenses, primarily including depreciation and amortization expenses, office rental expenses and information technology expenses. We expect our research and development expenses to increase in absolute amount in the foreseeable future as we continue to introduce new products and solutions, as well as improve our infrastructure, platforms and technology to stay abreast of technological developments and innovations.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Under the current laws of the Cayman Islands, we are not subject to tax on income or capital gains in the Cayman Islands. In addition, dividend payments are not subject to withholding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subsidiaries incorporated in Hong Kong are subject to income tax at the rate of 16.5% on the estimated assessable profits arising in Hong Kong. For the years ended December 31, 2017, 2018 and 2019, we did not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make any provisions for Hong Kong profit tax as there were no assessable profits derived from or earned in Hong Kong for any of the periods presented. Under the Hong Kong tax law, the subsidiaries in Hong Kong are exempted from income tax on their foreign-derived income and there are no withholding taxes in Hong Kong on remittance of dividends.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PRC entities are subject to the statutory income tax rate of 25%, in accordance with the Enterprise Income Tax law (the “EIT Law”), which was effective since January 1, 2008. Beijing Kingsoft Cloud and Kingsoft Cloud Network being qualified as a High New Technology Enterprise (‘‘HNTE’’) are entitled to the preferential income tax rate of 15% for three years from 2016 to 2018 and successfully renewed their HNTE status for an additional three years from 2019 to 2021. In addition, Beijing Jinxun Ruibo Network Technology Co., Ltd. being qualified as an HNTE is entitled to the preferential income tax rate of 15% for three years from 2017 to 2019. As of the date of this prospectus, we are in the process of renewing the HNTE status of Beijing Jinxun Ruibo Network Technology Co., Ltd. for the entitlement to the preferential income tax rate of 15% for three years from 2020 to 2022. Dividends, interests, rent or royalties payable by the Group’s PRC entities to non-PRC resident enterprises, and proceeds from any such non-resident enterprise investor’s disposition of assets (after deducting the net value of such assets) shall be subject to a 10% withholding tax unless the respective non-PRC resident enterprise’s jurisdiction of incorporation has a tax treaty or arrangements with China that provides for a reduced withholding tax rate or an exemption from withholding tax.</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Prior to this offering, we have been a private company with limited accounting and financial reporting personnel and other resources to address our internal controls and procedures. In connection with the audits of our consolidated financial statements as of December 31, 2018 and 2019 and for the years ended December 31, 2017, 2018 and 2019, we and our independent registered public accounting firm identified a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material weakness identified is our company’s lack of sufficient accounting and financial reporting personnel with requisite knowledge and experience in application of U.S. GAAP and SEC rules.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As of the date of this prospectus, we have implemented certain measure to improve our knowledge and experience in application of U.S. GAAP and SEC rules. In January 2020, we appointed Mr. Haijian He as our Chief Financial Officer to lead and enhance our accounting and financial team. Mr. He has an MBA degree and also is a CFA charter holder. Furthermore, we are in the process of implementing a number of additional measures, including: (i) hiring additional qualified financial and accounting staff with work experience with U.S. GAAP and SEC reporting requirements,</w:t>
      </w:r>
    </w:p>
    <w:p>
      <w:pPr>
        <w:spacing w:after="0" w:line="1" w:lineRule="exact"/>
        <w:rPr>
          <w:sz w:val="20"/>
          <w:szCs w:val="20"/>
          <w:color w:val="auto"/>
        </w:rPr>
      </w:pPr>
    </w:p>
    <w:p>
      <w:pPr>
        <w:jc w:val="both"/>
        <w:ind w:left="120" w:hanging="4"/>
        <w:spacing w:after="0" w:line="273" w:lineRule="auto"/>
        <w:tabs>
          <w:tab w:leader="none" w:pos="385"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developing a full set of comprehensive accounting manuals in accordance with U.S. GAAP and SEC rules; (iii) expanding the capabilities of existing accounting and financial reporting personnel through continuous training and education in the accounting and reporting requirements under U.S. GAAP, and SEC rules and regulations, (iv) encouraging our accounting and financial reporting personnel to take the AICPA exam, and (v) establishing effective monitoring and oversight controls for non-recurring and complex transactions.</w:t>
      </w:r>
    </w:p>
    <w:p>
      <w:pPr>
        <w:spacing w:after="0" w:line="1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reporting obligation. See “Risk Factors – Risks Relating to Our Business and Industry – If we fail to implement and maintain an effective system of internal controls to remediate our material weakness over financial reporting, we may be unable to accurately report our results of operations, meet our reporting obligations or prevent fraud, and investor confidence and the market price of the ADSs may be materially and adversely affected.”</w:t>
      </w:r>
    </w:p>
    <w:p>
      <w:pPr>
        <w:spacing w:after="0" w:line="14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 However, pursuant to Section 404 and the related rules adopted by the SEC, we, as a public company after being listed, are required to maintain adequate internal control over financial reporting and include our management’s assessment of the effectiveness of our company’s internal control over financial reporting in our annual report.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prepare our consolidated financial statements in accordance with U.S.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66"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consolidated financial statements. For further information on our critical accounting policies, see Note 2 to our consolidated financial statements. We believe the following accounting policies involve the most significant judgments and estimates used in the preparation of our consolidated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Effective January 1, 2017, we elected to adopt the requirements of ASC 606 using the full retrospective method. We apply the five-step model outlined in ASC 606, and account for a contract when it has approval and commitment from our customer, the rights of the parties are identified, payment terms are identified, the contract has commercial substance and collectability of consideration is probable.</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Revenue is allocated to each performance obligation based on its standalone selling price. We generally determine standalone selling prices based on observable prices. If the standalone selling price is not observable through past transactions, we estimate the standalone selling price based on multiple factors, including, but not limited to, historical discounting trends for services, gross margin objectives, internal costs, and industry technology lifecycles. Timing of revenue recognition may differ from the timing of invoicing to customers. We recognize a contract asset or a contract liability in the consolidated balance sheets, depending on the relationship between our performance and the customer’s payment. Contract liabilities represents the excess of payments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received as compared to the consideration earned and is reflected in “accrued expenses and other current liabilities” in our consolidated balance sheets. Contract assets primarily relate to our rights to consideration for work completed in relation to our services performed but not billed at the reporting date, and is reflected in “prepayments and other assets” in our consolidated balance sheets. The contract assets are transferred to the receivables when the rights become unconditional. Using the practical expedient in ASC 606, we do not adjust the promised amount of consideration for the effects of a significant financing component if it expects, at contract inception, that the period between the transfer of the promised good or service to the customer and when the customer pays for that good or service will be one year or less. Pursuant to ASC 606-10-32-2A, we also elected to exclude sales taxes and other similar taxes from the measurement of the transaction price. Therefore, revenues are recognized net of value added taxes (“VAT”) and surcharges.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provide integrated cloud-based services including but not limited to cloud computing, storage and delivery. The nature of our performance obligation is a single performance obligation to stand ready to provide an unspecified quantity of integrated cloud-based services each day throughout the contract period. We use monthly utilization records, an output measure, to recognize revenue over time as it most faithfully depicts the simultaneous consumption and delivery of services. At the end of each month, the transaction consideration is fixed based on utilization records and no variable consideration exists.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provide comprehensive customized cloud-based solutions, which are typically completed within one to three months (“Solutions”). The components within the Solutions are not distinct within the context of the contract because they are considered highly interdependent and the customer can only benefit from these components in conjunction with one another as a two-way dependency exists. We also provide post-delivery maintenance and upgrade services that are mainly technical support services performed by our technical support team. Therefore, the arrangement has three performance obligations, the Solutions, maintenance and upgrades. Revenue allocated to the Solutions and upgrades, is recognized at a point in time only upon customer acceptance of the Solutions and upon delivery of the specified upgrade, respectively. Revenue allocated to maintenance is recognized over time because the customer simultaneously receives and consumes the benefits as we perform throughout a fixed term.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 of affiliated entities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To comply with PRC laws and regulations which prohibit foreign control of companies that engage in value-added telecommunication services, we primarily conduct our business in the PRC through our PRC subsidiaries and the VIEs. The equity interests of our VIEs are legally held by PRC shareholders. Despite the lack of technical majority ownership, we have effective control of our VIEs through a series of contractual agreements and a parent-subsidiary relationship exists between us and our VIEs. Through the contractual agreements, the shareholders of our VIEs effectively assigned all of their voting rights underlying their equity interests in our VIEs to us and therefore, we have the power to direct the activities of our VIEs that most significantly impact its economic performance. We also have the ability and obligations to absorb substantially all the profits or losses of our VIEs that potentially could be significant to our VIE. Based on the above, we consolidate the VIEs in accordance with SEC Regulation SX-3A-02 and ASC 810, </w:t>
      </w:r>
      <w:r>
        <w:rPr>
          <w:rFonts w:ascii="Arial" w:cs="Arial" w:eastAsia="Arial" w:hAnsi="Arial"/>
          <w:sz w:val="17"/>
          <w:szCs w:val="17"/>
          <w:i w:val="1"/>
          <w:iCs w:val="1"/>
          <w:color w:val="auto"/>
        </w:rPr>
        <w:t>Consolidation</w:t>
      </w:r>
      <w:r>
        <w:rPr>
          <w:rFonts w:ascii="Arial" w:cs="Arial" w:eastAsia="Arial" w:hAnsi="Arial"/>
          <w:sz w:val="17"/>
          <w:szCs w:val="17"/>
          <w:color w:val="auto"/>
        </w:rPr>
        <w:t>. We will reconsider the initial determination of whether a legal entity is a consolidated affiliated entity upon certain events listed in ASC</w:t>
      </w:r>
      <w:r>
        <w:rPr>
          <w:rFonts w:ascii="Arial" w:cs="Arial" w:eastAsia="Arial" w:hAnsi="Arial"/>
          <w:sz w:val="17"/>
          <w:szCs w:val="17"/>
          <w:i w:val="1"/>
          <w:iCs w:val="1"/>
          <w:color w:val="auto"/>
        </w:rPr>
        <w:t xml:space="preserve"> </w:t>
      </w:r>
      <w:r>
        <w:rPr>
          <w:rFonts w:ascii="Arial" w:cs="Arial" w:eastAsia="Arial" w:hAnsi="Arial"/>
          <w:sz w:val="17"/>
          <w:szCs w:val="17"/>
          <w:color w:val="auto"/>
        </w:rPr>
        <w:t>810-10-35-4 occurring. We will also continuously reconsider whether we are the primary beneficiary of our affiliated entities as facts and circumstances change. See “Risk Factors—Risks Relating to Our Corporate Structure.”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evaluate our long-lived assets for impairment whenever events or changes in circumstances, such as a significant adverse change to market conditions that will impact the future use of the assets, indicate that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carrying amount of an asset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we recognize an impairment loss based on the excess of the carrying amount of the assets over their fair value. Fair value is generally determined by discounting the cash flows expected to be generated by the assets, when the market prices are not readily available.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shares and redeemable convertible preferred shares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Series A convertible preferred shares are classified as permanent equity because they are not redeemable and the holders of the Series A convertible preferred shares are entitled to receive the same form of consideration upon the occurrence of a conditional event (i.e. a Liquidation Transaction) as holders of equally and more subordinated equity instruments, specifically, the ordinary shareholders. The Series B convertible preferred shares have been classified as mezzanine equity as they may be redeemed upon the occurrence of a Liquidation Transaction and Kingsoft Group’s voluntary refusal to approve a public offering in which the pre-IPO market value of the Company is no less than US$1,512,500 and results in gross proceeds of no less than US$151,250 (“Series B Qualified IPO”). We concluded that the Series B convertible preferred shares are not redeemable currently, and it is not probable that the Series B convertible preferred shares will become redeemable because the likelihood of a deemed liquidation is remote. Therefore, no adjustment will be made to the initial carrying amount of the Series B convertible preferred shares until it is probable that they will become redeemable. The Series C, Series D and Series D+ redeemable convertible preferred shares have been classified as mezzanine equity as they may be redeemed at the option of the holders on or after an agreed upon date outside the sole control of our company. We concluded that the preferred shares are not redeemable currently, but it is probable that the Series C, Series D and Series D+ redeemable convertible preferred shares will become redeemable. We chose to recognize changes in the redemption value immediately as they occur and adjusted the carrying amount of the Series C, Series D and Series D+ redeemable convertible preferred shares to equal the redemption value at the end of each reporting period.</w:t>
      </w:r>
    </w:p>
    <w:p>
      <w:pPr>
        <w:spacing w:after="0" w:line="17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convertible preferred shares and redeemable convertible preferred shares, or collectively, the preferred shares, were initially recorded at issue price net of issuance costs. The holders of preferred shares have the ability to convert the instrument into our ordinary shares. We have evaluated the embedded conversion option in the preferred shares to determine if there were any embedded derivatives requiring bifurcation and to determine if there were any beneficial conversion features. The conversion option of the preferred shares does not qualify for bifurcation accounting because the conversion option is clearly and closely related to the host instrument and the underlying ordinary shares are not publicly traded nor readily convertible into cash. The contingent redemption options and registration rights of the preferred shares did not qualify for bifurcation accounting because the underlying ordinary shares were neither publicly traded nor readily convertible into cash. There were no other embedded derivatives that are required to be bifurcated.</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Beneficial conversion features exist when the conversion price of the preferred shares is lower than the fair value of the ordinary shares at the commitment date, which is the issuance date in our case. When a beneficial conversion feature, or BCF, exists as of the commitment date, its intrinsic value is bifurcated from the carrying value of the preferred shares as a contribution to additional paid-in capital. No BCF was recognized for the preferred shares because the fair values per ordinary share at the commitment dates were less than the respective most favorable conversion price during the periods presented. We determined the fair value of our ordinary shares with the assistance of an independent third party valuation firm.</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contingent conversion price adjustment is accounted for as a contingent BCF. In accordance with ASC paragraph 470-20-35-1, changes to the conversion terms that would be triggered by future events not controlled by an issuer should be accounted as contingent conversions, and the intrinsic value of such conversion options would not be recognized until and unless a triggering event occurred. No contingent BCF has been recognized for the periods presented.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We apply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or ASC 718, to account for our employee share-based payments. All of our share-based awards are classified as equity awards and generally contain only service vesting conditions for the periods presented, therefore, are recorded in the consolidated financial statements based on their grant date fair values. We elected to account for forfeitures as they occur. With the assistance of an independent third party valuation firm, we used the binomial tree model to determine the fair value of the stock options granted to employees.</w:t>
      </w:r>
    </w:p>
    <w:p>
      <w:pPr>
        <w:spacing w:after="0" w:line="15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will recognize a one-time share-based compensation expense of approximately RMB88.6 million (US$12.7 million) for share-based awards subject to accelerated vesting upon the completion of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determining fair value</w:t>
      </w:r>
    </w:p>
    <w:p>
      <w:pPr>
        <w:spacing w:after="0" w:line="11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The fair value of each option grant is estimated using the binomial option-pricing model. The model requires the input of highly subjective assumptions including the estimated expected share price volatility and the share price upon which (i.e. the exercise multiple) the employees are likely to exercise options. We historically have been a private company and lack information on our share price volatility. Therefore, we estimate our expected share price volatility based on the historical volatility of a group of similar companies, which are publicly-traded. When selecting these public companies on which we have based our expected share price volatility, we selected companies with characteristics similar to us, including the BEV, business model, development stage, risk profiles, position within the industry, and with historical share price information sufficient to meet the contractual life of our share-based awards. We will continue to apply this process until a sufficient amount of historical information regarding the volatility of our own share price becomes available. The exercise multiple is estimated as the average ratio of the share price to the exercise price as at the time when employees would decide to voluntarily exercise their vested options. As we did not have sufficient information of past employee exercise history, we considered the statistics on exercise patterns of employees compiled by Huddart and Lang in Huddart, S., and M. Lang. 1996. “Employee Stock Option Exercises: An Empirical Analysis.” Journal of Accounting and Economics, vol. 21, no. 1 (February):5-43, which are widely adopted by valuers as authoritative guidance on expected exercise multiples. The risk-free interest rates for the periods within the contractual life of the option are based on the U.S. Treasury yield curve in effect during the period the options were granted. Expected dividend yield is based on the fact that we have never paid, and do not expect to pay cash dividends in the foreseeable future.</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required to estimate the fair value of the ordinary shares underlying our options when performing the fair value calculations with the binomial option model. Therefore, our board of directors has estimated the fair value of our ordinary shares at various dates, with input from management, considering the third-party valuations of ordinary shares at each grant date. The valuations of our ordinary shares were performed using methodologies, approaches and assumptions consistent with the American Institute of Certified Public Accountants Audit and Accounting Practice Aid Series: Valuation of Privately-Held-Company Equity Securities Issued as Compensation, or the AICPA Practice Guide. In addition, our board of directors considered various objective and subjective factors, along with input from management and the independent third-party valuation firm, to determine the fair value of our ordinary shares, including: external market conditions affecting the cloud service industry, trends within the cloud service industry, the prices at which we sold preferred shares, the superior rights and preference of the preferred shares or other senior securities relative to our ordinary shares at the time of each grant, the results of operations, financials position, status of our research and development efforts, our stage of development and business strategy, and the lack of an active public market for our ordinary shares, and the likelihood of achieving a liquidity event or an initial public offering. In order to determine the fair value of our ordinary shares underlying each share-based award grant, we first determined our BEV, and then allocated the BEV to each element of our capital structure (convertible preferred shares, redeemable convertible preferred shares and ordinary shares) using the allocation method. In our case, three scenarios were assumed, namely: (i) the liquidation scenario, in which the option pricing method was adopted to allocate the value between convertible preferred shares, redeemable convertible preferred shares and ordinary shares, and (ii) the redemption scenario, in which the option pricing method was adopted to allocate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value among the convertible preferred shares, redeemable convertible preferred shares and ordinary shares, and (iii) the mandatory conversion scenario, in which equity value was allocated to convertible preferred shares, redeemable convertible preferred shares and ordinary shares on an as-if converted basis.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adopted to estimate the fair value of options using the binomial option pricing model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1.98%-2.10%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1.58%-1.80%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44.60%</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42.40%-43.00%</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37.40%-37.90%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2.20-2.80</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Fair market value per ordinary share as at valuation dates</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US$0.55</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US$0.63-$0.68</w:t>
            </w:r>
          </w:p>
        </w:tc>
        <w:tc>
          <w:tcPr>
            <w:tcW w:w="1800" w:type="dxa"/>
            <w:vAlign w:val="bottom"/>
          </w:tcPr>
          <w:p>
            <w:pPr>
              <w:ind w:left="240"/>
              <w:spacing w:after="0"/>
              <w:rPr>
                <w:sz w:val="20"/>
                <w:szCs w:val="20"/>
                <w:color w:val="auto"/>
              </w:rPr>
            </w:pPr>
            <w:r>
              <w:rPr>
                <w:rFonts w:ascii="Arial" w:cs="Arial" w:eastAsia="Arial" w:hAnsi="Arial"/>
                <w:sz w:val="18"/>
                <w:szCs w:val="18"/>
                <w:color w:val="auto"/>
              </w:rPr>
              <w:t>US$0.72-US$0.76</w:t>
            </w:r>
          </w:p>
        </w:tc>
      </w:tr>
    </w:tbl>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 As a result, if factors change and we use significantly different assumptions or estimates when valuing our options, our share-based compensation expense could be materially different.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estimate</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determined the fair value of our share awards granted to employees as of the date of grant and the fair value of our share awards granted to non-employees upon the counterparty’s performance completion, taking into consideration the various objective and subjective factors described above. We computed the per share weighted-average estimated fair value for share awards based on the binomial option pricing model.</w:t>
      </w:r>
    </w:p>
    <w:p>
      <w:pPr>
        <w:spacing w:after="0" w:line="14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Once public trading market of the ADSs has been established in connection with the completion of this offering, it will no longer be necessary for us to estimate the fair value of our ordinary shares in connection with our accounting for granted share awards.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our consolidated results of operations and as percentages of our total revenues for the periods indicated.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4"/>
                <w:szCs w:val="14"/>
                <w:b w:val="1"/>
                <w:bCs w:val="1"/>
                <w:color w:val="auto"/>
                <w:w w:val="97"/>
              </w:rPr>
              <w:t>For the 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940" w:type="dxa"/>
            <w:vAlign w:val="bottom"/>
            <w:gridSpan w:val="2"/>
          </w:tcPr>
          <w:p>
            <w:pPr>
              <w:jc w:val="right"/>
              <w:ind w:right="328"/>
              <w:spacing w:after="0" w:line="119" w:lineRule="exact"/>
              <w:rPr>
                <w:sz w:val="20"/>
                <w:szCs w:val="20"/>
                <w:color w:val="auto"/>
              </w:rPr>
            </w:pPr>
            <w:r>
              <w:rPr>
                <w:rFonts w:ascii="Arial" w:cs="Arial" w:eastAsia="Arial" w:hAnsi="Arial"/>
                <w:sz w:val="13"/>
                <w:szCs w:val="13"/>
                <w:b w:val="1"/>
                <w:bCs w:val="1"/>
                <w:color w:val="auto"/>
              </w:rPr>
              <w:t>RMB</w:t>
            </w:r>
          </w:p>
        </w:tc>
        <w:tc>
          <w:tcPr>
            <w:tcW w:w="46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RMB</w:t>
            </w:r>
          </w:p>
        </w:tc>
        <w:tc>
          <w:tcPr>
            <w:tcW w:w="48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6"/>
          </w:tcPr>
          <w:p>
            <w:pPr>
              <w:jc w:val="right"/>
              <w:ind w:right="420"/>
              <w:spacing w:after="0" w:line="119" w:lineRule="exact"/>
              <w:rPr>
                <w:sz w:val="20"/>
                <w:szCs w:val="20"/>
                <w:color w:val="auto"/>
              </w:rPr>
            </w:pPr>
            <w:r>
              <w:rPr>
                <w:rFonts w:ascii="Arial" w:cs="Arial" w:eastAsia="Arial" w:hAnsi="Arial"/>
                <w:sz w:val="13"/>
                <w:szCs w:val="13"/>
                <w:b w:val="1"/>
                <w:bCs w:val="1"/>
                <w:color w:val="auto"/>
              </w:rPr>
              <w:t>RMB</w:t>
            </w:r>
          </w:p>
        </w:tc>
        <w:tc>
          <w:tcPr>
            <w:tcW w:w="80" w:type="dxa"/>
            <w:vAlign w:val="bottom"/>
          </w:tcPr>
          <w:p>
            <w:pPr>
              <w:spacing w:after="0"/>
              <w:rPr>
                <w:sz w:val="10"/>
                <w:szCs w:val="10"/>
                <w:color w:val="auto"/>
              </w:rPr>
            </w:pPr>
          </w:p>
        </w:tc>
        <w:tc>
          <w:tcPr>
            <w:tcW w:w="8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US$</w:t>
            </w:r>
          </w:p>
        </w:tc>
        <w:tc>
          <w:tcPr>
            <w:tcW w:w="42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gridSpan w:val="17"/>
          </w:tcPr>
          <w:p>
            <w:pPr>
              <w:jc w:val="right"/>
              <w:ind w:right="360"/>
              <w:spacing w:after="0"/>
              <w:rPr>
                <w:sz w:val="20"/>
                <w:szCs w:val="20"/>
                <w:color w:val="auto"/>
              </w:rPr>
            </w:pPr>
            <w:r>
              <w:rPr>
                <w:rFonts w:ascii="Arial" w:cs="Arial" w:eastAsia="Arial" w:hAnsi="Arial"/>
                <w:sz w:val="14"/>
                <w:szCs w:val="14"/>
                <w:b w:val="1"/>
                <w:bCs w:val="1"/>
                <w:color w:val="auto"/>
                <w:w w:val="90"/>
              </w:rPr>
              <w:t>(in thousands, except for percentages, shares and per share data)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Consolidated Statements of Operation:</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shd w:val="clear" w:color="auto" w:fill="CCEEFF"/>
          </w:tcPr>
          <w:p>
            <w:pPr>
              <w:spacing w:after="0"/>
              <w:rPr>
                <w:sz w:val="12"/>
                <w:szCs w:val="12"/>
                <w:color w:val="auto"/>
              </w:rPr>
            </w:pPr>
          </w:p>
        </w:tc>
        <w:tc>
          <w:tcPr>
            <w:tcW w:w="5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Public cloud services</w:t>
            </w:r>
          </w:p>
        </w:tc>
        <w:tc>
          <w:tcPr>
            <w:tcW w:w="9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1,202,485</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97.3</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2,110,513</w:t>
            </w:r>
          </w:p>
        </w:tc>
        <w:tc>
          <w:tcPr>
            <w:tcW w:w="70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95.1</w:t>
            </w:r>
          </w:p>
        </w:tc>
        <w:tc>
          <w:tcPr>
            <w:tcW w:w="120" w:type="dxa"/>
            <w:vAlign w:val="bottom"/>
            <w:shd w:val="clear" w:color="auto" w:fill="CCEEFF"/>
          </w:tcPr>
          <w:p>
            <w:pPr>
              <w:spacing w:after="0"/>
              <w:rPr>
                <w:sz w:val="12"/>
                <w:szCs w:val="12"/>
                <w:color w:val="auto"/>
              </w:rPr>
            </w:pPr>
          </w:p>
        </w:tc>
        <w:tc>
          <w:tcPr>
            <w:tcW w:w="760" w:type="dxa"/>
            <w:vAlign w:val="bottom"/>
            <w:gridSpan w:val="5"/>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3,458,843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496,832</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5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Enterprise cloud services</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15,271</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94,369</w:t>
            </w:r>
          </w:p>
        </w:tc>
        <w:tc>
          <w:tcPr>
            <w:tcW w:w="70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8"/>
              </w:rPr>
              <w:t>486,308</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69,854</w:t>
            </w:r>
          </w:p>
        </w:tc>
        <w:tc>
          <w:tcPr>
            <w:tcW w:w="2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5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Others</w:t>
            </w:r>
          </w:p>
        </w:tc>
        <w:tc>
          <w:tcPr>
            <w:tcW w:w="9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18,211</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13,290</w:t>
            </w:r>
          </w:p>
        </w:tc>
        <w:tc>
          <w:tcPr>
            <w:tcW w:w="70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11,202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1,609</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1,235,967</w:t>
            </w: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2,218,172</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9"/>
              </w:rPr>
              <w:t>3,956,353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568,295</w:t>
            </w:r>
          </w:p>
        </w:tc>
        <w:tc>
          <w:tcPr>
            <w:tcW w:w="2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of revenues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(1,354,153)</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(109.6)</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(2,418,562)</w:t>
            </w: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b w:val="1"/>
                <w:bCs w:val="1"/>
                <w:color w:val="auto"/>
              </w:rPr>
              <w:t>(109.0)</w:t>
            </w:r>
          </w:p>
        </w:tc>
        <w:tc>
          <w:tcPr>
            <w:tcW w:w="120" w:type="dxa"/>
            <w:vAlign w:val="bottom"/>
            <w:shd w:val="clear" w:color="auto" w:fill="CCEEFF"/>
          </w:tcPr>
          <w:p>
            <w:pPr>
              <w:spacing w:after="0"/>
              <w:rPr>
                <w:sz w:val="12"/>
                <w:szCs w:val="12"/>
                <w:color w:val="auto"/>
              </w:rPr>
            </w:pPr>
          </w:p>
        </w:tc>
        <w:tc>
          <w:tcPr>
            <w:tcW w:w="7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(3,948,644)</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(567,187)</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(99.8)</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(loss)/profit</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80" w:type="dxa"/>
            <w:vAlign w:val="bottom"/>
            <w:gridSpan w:val="3"/>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(118,186)</w:t>
            </w:r>
          </w:p>
        </w:tc>
        <w:tc>
          <w:tcPr>
            <w:tcW w:w="200" w:type="dxa"/>
            <w:vAlign w:val="bottom"/>
            <w:vMerge w:val="continue"/>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(9.6)</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(200,390)</w:t>
            </w:r>
          </w:p>
        </w:tc>
        <w:tc>
          <w:tcPr>
            <w:tcW w:w="200" w:type="dxa"/>
            <w:vAlign w:val="bottom"/>
            <w:vMerge w:val="continue"/>
          </w:tcPr>
          <w:p>
            <w:pPr>
              <w:spacing w:after="0"/>
              <w:rPr>
                <w:sz w:val="13"/>
                <w:szCs w:val="13"/>
                <w:color w:val="auto"/>
              </w:rPr>
            </w:pPr>
          </w:p>
        </w:tc>
        <w:tc>
          <w:tcPr>
            <w:tcW w:w="700" w:type="dxa"/>
            <w:vAlign w:val="bottom"/>
            <w:gridSpan w:val="2"/>
          </w:tcPr>
          <w:p>
            <w:pPr>
              <w:jc w:val="right"/>
              <w:ind w:right="109"/>
              <w:spacing w:after="0" w:line="155" w:lineRule="exact"/>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7,709</w:t>
            </w: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1,108</w:t>
            </w:r>
          </w:p>
        </w:tc>
        <w:tc>
          <w:tcPr>
            <w:tcW w:w="22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0.2</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(115,861)</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(191,671)</w:t>
            </w:r>
          </w:p>
        </w:tc>
        <w:tc>
          <w:tcPr>
            <w:tcW w:w="7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0"/>
              </w:rPr>
              <w:t>(317,426)</w:t>
            </w:r>
          </w:p>
        </w:tc>
        <w:tc>
          <w:tcPr>
            <w:tcW w:w="8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(45,595)</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(93,649)</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(146,846)</w:t>
            </w: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(238,648)</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(34,280)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gridSpan w:val="3"/>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(399,209)</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(440,518)</w:t>
            </w:r>
          </w:p>
        </w:tc>
        <w:tc>
          <w:tcPr>
            <w:tcW w:w="7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(19.9)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0"/>
              </w:rPr>
              <w:t>(595,169)</w:t>
            </w:r>
          </w:p>
        </w:tc>
        <w:tc>
          <w:tcPr>
            <w:tcW w:w="8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(85,491)</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(608,719)</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(49.3)</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(779,035)</w:t>
            </w: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b w:val="1"/>
                <w:bCs w:val="1"/>
                <w:color w:val="auto"/>
              </w:rPr>
              <w:t>(35.1)</w:t>
            </w:r>
          </w:p>
        </w:tc>
        <w:tc>
          <w:tcPr>
            <w:tcW w:w="120" w:type="dxa"/>
            <w:vAlign w:val="bottom"/>
            <w:shd w:val="clear" w:color="auto" w:fill="CCEEFF"/>
          </w:tcPr>
          <w:p>
            <w:pPr>
              <w:spacing w:after="0"/>
              <w:rPr>
                <w:sz w:val="12"/>
                <w:szCs w:val="12"/>
                <w:color w:val="auto"/>
              </w:rPr>
            </w:pPr>
          </w:p>
        </w:tc>
        <w:tc>
          <w:tcPr>
            <w:tcW w:w="7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(1,151,243)</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(165,366)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(29.1)</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80" w:type="dxa"/>
            <w:vAlign w:val="bottom"/>
            <w:gridSpan w:val="3"/>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(726,905)</w:t>
            </w:r>
          </w:p>
        </w:tc>
        <w:tc>
          <w:tcPr>
            <w:tcW w:w="200" w:type="dxa"/>
            <w:vAlign w:val="bottom"/>
            <w:vMerge w:val="continue"/>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(58.8)</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(979,425)</w:t>
            </w:r>
          </w:p>
        </w:tc>
        <w:tc>
          <w:tcPr>
            <w:tcW w:w="2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(44.2)</w:t>
            </w:r>
          </w:p>
        </w:tc>
        <w:tc>
          <w:tcPr>
            <w:tcW w:w="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86"/>
              </w:rPr>
              <w:t>(1,143,534)</w:t>
            </w:r>
          </w:p>
        </w:tc>
        <w:tc>
          <w:tcPr>
            <w:tcW w:w="1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(164,258)</w:t>
            </w:r>
          </w:p>
        </w:tc>
        <w:tc>
          <w:tcPr>
            <w:tcW w:w="22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(28.9)</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9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19,628</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116,500</w:t>
            </w:r>
          </w:p>
        </w:tc>
        <w:tc>
          <w:tcPr>
            <w:tcW w:w="70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78,612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11,292</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3"/>
          </w:tcPr>
          <w:p>
            <w:pPr>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(36,410)</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(38,826)</w:t>
            </w:r>
          </w:p>
        </w:tc>
        <w:tc>
          <w:tcPr>
            <w:tcW w:w="7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(4,925)</w:t>
            </w:r>
          </w:p>
        </w:tc>
        <w:tc>
          <w:tcPr>
            <w:tcW w:w="8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(707)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gain/(loss)</w:t>
            </w:r>
          </w:p>
        </w:tc>
        <w:tc>
          <w:tcPr>
            <w:tcW w:w="9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25,863</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(102,202)</w:t>
            </w: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(38,961)</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(5,596)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gridSpan w:val="3"/>
          </w:tcPr>
          <w:p>
            <w:pPr>
              <w:spacing w:after="0" w:line="149" w:lineRule="exact"/>
              <w:rPr>
                <w:sz w:val="20"/>
                <w:szCs w:val="20"/>
                <w:color w:val="auto"/>
              </w:rPr>
            </w:pPr>
            <w:r>
              <w:rPr>
                <w:rFonts w:ascii="Arial" w:cs="Arial" w:eastAsia="Arial" w:hAnsi="Arial"/>
                <w:sz w:val="14"/>
                <w:szCs w:val="14"/>
                <w:color w:val="auto"/>
              </w:rPr>
              <w:t>Changes in fair value of financial instruments</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3,016</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6,404</w:t>
            </w:r>
          </w:p>
        </w:tc>
        <w:tc>
          <w:tcPr>
            <w:tcW w:w="70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1,226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739</w:t>
            </w:r>
          </w:p>
        </w:tc>
        <w:tc>
          <w:tcPr>
            <w:tcW w:w="7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6,612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(713,582)</w:t>
            </w:r>
          </w:p>
        </w:tc>
        <w:tc>
          <w:tcPr>
            <w:tcW w:w="2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(57.7)</w:t>
            </w:r>
          </w:p>
        </w:tc>
        <w:tc>
          <w:tcPr>
            <w:tcW w:w="20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(996,810)</w:t>
            </w: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(44.9)</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86"/>
              </w:rPr>
              <w:t>(1,102,196)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(158,319)</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(668)</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(9,632)</w:t>
            </w: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(9,003)</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(1,293)</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(714,250)</w:t>
            </w: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(57.8)</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(1,006,442)</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(45.3)</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86"/>
              </w:rPr>
              <w:t>(1,111,199)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(159,612)</w:t>
            </w:r>
          </w:p>
        </w:tc>
        <w:tc>
          <w:tcPr>
            <w:tcW w:w="2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Accretion to redemption value of redeemable convertible preferred shares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(605,515)</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(742,472)</w:t>
            </w: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(49,725)</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(7,143)</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Net loss attributable to ordinary shareholders</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(1,319,765)</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(106.8)</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(1,748,914)</w:t>
            </w:r>
          </w:p>
        </w:tc>
        <w:tc>
          <w:tcPr>
            <w:tcW w:w="70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(78.8)</w:t>
            </w:r>
          </w:p>
        </w:tc>
        <w:tc>
          <w:tcPr>
            <w:tcW w:w="120" w:type="dxa"/>
            <w:vAlign w:val="bottom"/>
          </w:tcPr>
          <w:p>
            <w:pPr>
              <w:spacing w:after="0"/>
              <w:rPr>
                <w:sz w:val="16"/>
                <w:szCs w:val="16"/>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2"/>
              </w:rPr>
              <w:t>(1,160,924)</w:t>
            </w:r>
          </w:p>
        </w:tc>
        <w:tc>
          <w:tcPr>
            <w:tcW w:w="8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(166,755)</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220" w:type="dxa"/>
            <w:vAlign w:val="bottom"/>
            <w:tcBorders>
              <w:bottom w:val="single" w:sz="8" w:color="auto"/>
            </w:tcBorders>
            <w:gridSpan w:val="2"/>
          </w:tcPr>
          <w:p>
            <w:pPr>
              <w:spacing w:after="0"/>
              <w:rPr>
                <w:sz w:val="8"/>
                <w:szCs w:val="8"/>
                <w:color w:val="auto"/>
              </w:rPr>
            </w:pPr>
          </w:p>
        </w:tc>
        <w:tc>
          <w:tcPr>
            <w:tcW w:w="4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380" w:type="dxa"/>
            <w:vAlign w:val="bottom"/>
            <w:gridSpan w:val="3"/>
          </w:tcPr>
          <w:p>
            <w:pPr>
              <w:spacing w:after="0"/>
              <w:rPr>
                <w:sz w:val="20"/>
                <w:szCs w:val="20"/>
                <w:color w:val="auto"/>
              </w:rPr>
            </w:pPr>
            <w:r>
              <w:rPr>
                <w:rFonts w:ascii="Arial" w:cs="Arial" w:eastAsia="Arial" w:hAnsi="Arial"/>
                <w:sz w:val="14"/>
                <w:szCs w:val="14"/>
                <w:color w:val="auto"/>
              </w:rPr>
              <w:t>Note: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5160" w:type="dxa"/>
            <w:vAlign w:val="bottom"/>
            <w:gridSpan w:val="2"/>
          </w:tcPr>
          <w:p>
            <w:pPr>
              <w:ind w:left="200"/>
              <w:spacing w:after="0"/>
              <w:rPr>
                <w:sz w:val="20"/>
                <w:szCs w:val="20"/>
                <w:color w:val="auto"/>
              </w:rPr>
            </w:pPr>
            <w:r>
              <w:rPr>
                <w:rFonts w:ascii="Arial" w:cs="Arial" w:eastAsia="Arial" w:hAnsi="Arial"/>
                <w:sz w:val="14"/>
                <w:szCs w:val="14"/>
                <w:color w:val="auto"/>
              </w:rPr>
              <w:t>Share-based compensation expenses were allocated as follows:</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13"/>
          </w:tcPr>
          <w:p>
            <w:pPr>
              <w:jc w:val="right"/>
              <w:ind w:right="3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RMB</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Borders>
              <w:top w:val="single" w:sz="8" w:color="auto"/>
            </w:tcBorders>
          </w:tcPr>
          <w:p>
            <w:pPr>
              <w:jc w:val="right"/>
              <w:ind w:right="8"/>
              <w:spacing w:after="0" w:line="119"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6,551</w:t>
            </w:r>
          </w:p>
        </w:tc>
        <w:tc>
          <w:tcPr>
            <w:tcW w:w="7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3,565</w:t>
            </w:r>
          </w:p>
        </w:tc>
        <w:tc>
          <w:tcPr>
            <w:tcW w:w="880" w:type="dxa"/>
            <w:vAlign w:val="bottom"/>
            <w:tcBorders>
              <w:right w:val="single" w:sz="8" w:color="CCEEFF"/>
            </w:tcBorders>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8,509</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48"/>
        </w:trPr>
        <w:tc>
          <w:tcPr>
            <w:tcW w:w="5380" w:type="dxa"/>
            <w:vAlign w:val="bottom"/>
            <w:gridSpan w:val="3"/>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12,618</w:t>
            </w:r>
          </w:p>
        </w:tc>
        <w:tc>
          <w:tcPr>
            <w:tcW w:w="7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5,889</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37,808</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5,431</w:t>
            </w:r>
          </w:p>
        </w:tc>
        <w:tc>
          <w:tcPr>
            <w:tcW w:w="0" w:type="dxa"/>
            <w:vAlign w:val="bottom"/>
          </w:tcPr>
          <w:p>
            <w:pPr>
              <w:spacing w:after="0"/>
              <w:rPr>
                <w:sz w:val="1"/>
                <w:szCs w:val="1"/>
                <w:color w:val="auto"/>
              </w:rPr>
            </w:pPr>
          </w:p>
        </w:tc>
      </w:tr>
      <w:tr>
        <w:trPr>
          <w:trHeight w:val="148"/>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25,741</w:t>
            </w:r>
          </w:p>
        </w:tc>
        <w:tc>
          <w:tcPr>
            <w:tcW w:w="7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11,167</w:t>
            </w:r>
          </w:p>
        </w:tc>
        <w:tc>
          <w:tcPr>
            <w:tcW w:w="880" w:type="dxa"/>
            <w:vAlign w:val="bottom"/>
            <w:tcBorders>
              <w:right w:val="single" w:sz="8" w:color="CCEEFF"/>
            </w:tcBorders>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31,988</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4,595</w:t>
            </w:r>
          </w:p>
        </w:tc>
        <w:tc>
          <w:tcPr>
            <w:tcW w:w="0" w:type="dxa"/>
            <w:vAlign w:val="bottom"/>
          </w:tcPr>
          <w:p>
            <w:pPr>
              <w:spacing w:after="0"/>
              <w:rPr>
                <w:sz w:val="1"/>
                <w:szCs w:val="1"/>
                <w:color w:val="auto"/>
              </w:rPr>
            </w:pPr>
          </w:p>
        </w:tc>
      </w:tr>
      <w:tr>
        <w:trPr>
          <w:trHeight w:val="149"/>
        </w:trPr>
        <w:tc>
          <w:tcPr>
            <w:tcW w:w="5380" w:type="dxa"/>
            <w:vAlign w:val="bottom"/>
            <w:gridSpan w:val="3"/>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7"/>
              </w:rPr>
              <w:t>46,099</w:t>
            </w:r>
          </w:p>
        </w:tc>
        <w:tc>
          <w:tcPr>
            <w:tcW w:w="7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26,320</w:t>
            </w:r>
          </w:p>
        </w:tc>
        <w:tc>
          <w:tcPr>
            <w:tcW w:w="8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42,974</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6,173</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91,009</w:t>
            </w:r>
          </w:p>
        </w:tc>
        <w:tc>
          <w:tcPr>
            <w:tcW w:w="7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46,941</w:t>
            </w:r>
          </w:p>
        </w:tc>
        <w:tc>
          <w:tcPr>
            <w:tcW w:w="880" w:type="dxa"/>
            <w:vAlign w:val="bottom"/>
            <w:tcBorders>
              <w:right w:val="single" w:sz="8" w:color="CCEEFF"/>
            </w:tcBorders>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121,279</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17,421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revenues increased by 78.4% from RMB2,218.2 million in 2018 to RMB3,956.4 million (US$568.3 million) in 2019.</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revenues generated from public cloud services increased by 63.9% from RMB2,110.5 million in 2018 to RMB3,458.8 million (US$496.8 million) in 2019, primarily driven by (i) increased average revenues per Public Cloud Service Premium Customer from RMB14.5 million in 2018 to RMB19.2 million (US$2.8 million) in 2019 as a result of their increasing demands for our products and solutions, contributing 60.4% of the increase in the revenues generated from public cloud services from 2018 to 2019, and (ii) to a lesser extent, increase in the number of our Public Cloud Service Premium Customers from 139 in 2018 to 175 in 2019 due to our further penetration in existing verticals and expansion into more verticals, contributing 38.8% of the increase in the revenues generated from public cloud services from 2018 to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revenues generated from enterprise cloud services increased significantly from RMB94.4 million in 2018 to RMB486.3 million (US$69.9 million) in 2019, primarily driven by (i) increase in the number of our Enterprise Cloud Service Premium Customers from 17 in 2018 to 67 in 2019 due to our further penetration in existing verticals and expansion into more verticals, contributing 69.7% of the increase in the revenues generated from enterprise cloud services from 2018 to 2019, and (ii) to a lesser extent, increased average revenues per Enterprise Cloud Service Premium Customer from RMB5.5 million in 2018 to RMB7.2 million (US$1.0 million) in 2019 as a result of their increasing demands for our products and solutions, contributing 29.3% of the increase in the revenues generated from enterprise cloud services from 2018 to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revenues generated from others decreased by 15.8% from RMB13.3 million in 2018 to RMB11.2 million (US$1.6 million) in 2019, which is primarily because we strategically discontinued advertising placement agency services in the first quarter of 2019, partially offset by the revenues generated from services ancillary to our other revenue streams such as AIoT solutions since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cost of revenues increased by 63.3% from RMB2,418.6 million in 2018 to RMB3,948.6 million (US$567.2 million) in 2019, driven by (i) an increase in IDC costs by 51.1% from RMB1,890.5 million to RMB2,856.6 million (US$410.3 million) to support our business expansion, (ii) an increase in depreciation and amortization costs by 47.3% from RMB406.7 million to RMB599.2 million (US$86.1 million) which was in line with our significant growth in business, and (iii) a significant increase in other costs from RMB97.7 million to RMB440.4 million (US$63.3 million) which was primarily in relation to the increase in our enterprise cloud revenues.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(loss)/profit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result of the foregoing, we generated gross profit of RMB7.7 million (US$1.1 million) in 2019, compared to gross loss of RMB200.4 million in 2018, primarily resulting from economies of scale and our enhanced efficiency.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increased by 47.8% from RMB779.0 million in 2018 to RMB1,151.2 million (US$165.4 million) in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selling and marketing expenses increased by 65.6% from RMB191.7 million in 2018 to RMB317.4 million (US$45.6 million) in 2019, which was mainly attributable to an increase in staff expenses by 89.4% from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RMB119.1 million to RMB225.6 million (US$32.4 million) due to (i) increases in the number of our sales and marketing personnel as we continued to increase our sales and marketing efforts, and (ii) share-based awards granted in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Our general and administrative expenses increased by 62.5% from RMB146.8 million in 2018 to RMB238.6 million (US$34.3 million) in 2019, which was mainly attributable to an increase in staff expenses by 59.2% from RMB76.7 million to RMB122.1 million (US$17.5 million) due to (i) an increase in the number of our general and administrative staff, (ii) an increase in general and administrative staff’s compensation level, and (iii) share-based awards granted in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research and development expenses increased by 35.1% from RMB440.5 million in 2018 to RMB595.2 million (US$85.5 million) in 2019, which was mainly attributable to an increase in staff expenses for research and development personnel by 33.3% from RMB394.9 million to RMB526.3 million (US$75.6 million) due to (i) increases in both the number of our research and development personnel, (ii) the increase in their compensation levels as we continued to increase our research and development efforts, and (iii) share-based awards granted in 2019.</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result of the foregoing, our operating loss increased by 16.8% from RMB979.4 million in 2018 to RMB1,143.5 million (US$164.3 million)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interest income decreased by 32.5% from RMB116.5 million in 2018 to RMB78.6 million (US$11.3 million) in 2019, which was mainly due to the maturity of our short-term investments.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interest expense decreased by 87.4% from RMB38.8 million in 2018 to RMB4.9 million (US$0.7 million) in 2019, which was mainly due to our repayment of loans to Kingsoft Group.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gain/(loss)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foreign exchange loss decreased by 61.8% from RMB102.2 million in 2018 to RMB39.0 million (US$5.6 million) in 2019, which was mainly due to the fluctuation of exchange rate.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changes in fair value of financial instruments decreased from RMB6.4 million in 2018 to nil in 2019, which was mainly attributable to the exercise of the warrants issued to a Series D investor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other income, net increased significantly from RMB0.7 million in 2018 to RMB6.6 million (US$1.0 million) in 2019, which was mainly due to the grant of government allowances and subsidies.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income tax expense remained relatively stable from RMB9.6 million in 2018 to RMB9.0 million (US$1.3 million) in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a result of the foregoing, our net loss increased by 10.4% from RMB1,006.4 million in 2018 to RMB1,111.2 million (US$159.6 million)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revenues increased by 79.5% from RMB1,236.0 million in 2017 to RMB2,218.2 million in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revenues generated from public cloud services increased by 75.5% from RMB1,202.5 million in 2017 to RMB2,110.5 million in 2018, primarily driven by (i) increased average revenues per Public Cloud Service Premium Customer from RMB10.2 million in 2017 to RMB14.5 million in 2018 as a result of their increasing demands for our products and solutions, contributing 66.2% of the increase in the revenues generated from public cloud services from 2017 to 2018, and (ii) to a lesser extent, increase in the number of our Public Cloud Service Premium Customers from 112 in 2017 to 139 in 2018 due to our further penetration in existing verticals and expansion into more verticals, contributing 30.4% of the increase in the revenues generated from public cloud services from 2017 to 2018.</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revenues generated from enterprise cloud services increased significantly from RMB15.3 million in 2017 to RMB94.4 million in 2018, primarily driven by increase in the number of our Enterprise Cloud Service Premium Customers from two in 2017 to 17 in 2018 due to our further penetration in existing verticals and expansion into more verticals.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revenues generated from others decreased by 27.0% from RMB18.2 million in 2017 to RMB13.3 million in 2018, which is primarily because we started to strategically streamline our advertising placement agency services.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Our cost of revenues increased by 78.6% from RMB1,354.2 million in 2017 to RMB2,418.6 million in 2018, driven by (i) an increase in IDC costs by 83.0% from RMB1,033.2 million to RMB1,890.5 million to support our business expansion, and (ii) an increase in depreciation and amortization costs by 40.1% from RMB290.2 million to RMB406.7 million which was in line with our significant growth in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loss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result of the foregoing, our gross loss increased by 69.6% from RMB118.2 million in 2017 to RMB200.4 million in 2018. Our gross loss as a percentage out of our total revenues decreased from 9.6% in 2017 to 9.0% in 2018, primarily resulting from economies of scale and our enhanced efficiency, which is partially offset by our continuing upfront investment in infrastructure.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operating expenses increased by 28.0% from RMB608.7 million in 2017 to RMB779.0 million in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selling and marketing expenses increased by 65.4% from RMB115.9 million in 2017 to RMB191.7 million in 2018, which was mainly attributable to (i) an increase in staff expenses by 74.9% from RMB64.7 million to RMB113.2 million due to increases in the number of our sales and marketing personnel as we continued to increase our sales and marketing efforts, especially in enterprise cloud services and (ii) an increase in marketing and promotion expenses by 93.5% from RMB11.9 million to RMB23.0 million, which was in line with our business growth.</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Our general and administrative expenses increased by 56.8% from RMB93.6 million in 2017 to RMB146.8 million in 2018, which was mainly attributable to an increase in staff expenses by 53.3% from RMB42.8 million to RMB65.6 million due to increases in the number of our general and administrative staff and their increased compensation levels.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research and development expenses increased by 10.3% from RMB399.2 million in 2017 to RMB440.5 million in 2018, which was mainly attributable to an increase in staff expenses by 15.5% from RMB319.0 million to RMB368.5 million for research and development personnel due to increases in both the number of our research and development and related personnel and their compensation levels as we continued to increase our research and development efforts.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result of the foregoing, our operating loss increased by 34.7% from RMB726.9 million in 2017 to RMB979.4 million in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interest income was RMB116.5 million in 2018, as compared to RMB19.6 million in 2017. The change was mainly due to the increase in our cash and cash equivalents and the amount of short-term investments we purchased.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interest expense was RMB38.8 million in 2018, as compared to RMB36.4 million in 2017. The change was mainly due to the decrease in the amount of our borrowings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gain/(loss)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incurred foreign exchange loss of RMB102.2 million in 2018, as compared to a foreign exchange gain of RMB25.9 million in 2017. The change was mainly attributable to currency exchange losses in 2018 due to depreciation of RMB against U.S. dollars.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changes in fair value of financial instruments increased from RMB3.0 million in 2017 to RMB6.4 million in 2018, which was mainly in relation to the warrant issued to a Series D investor in 2017.</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other income, net, was RMB0.7 million in 2018, as compared to RMB1.2 million in 2017.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income tax expense increased from RMB0.7 million in 2017 and RMB9.6 million in 2018, which was mainly due to our increased interest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result of the foregoing, our net loss increased by 40.9% from RMB714.3 million in 2017 as compared to RMB1,006.4 million in 2018.</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840"/>
          </w:cols>
          <w:pgMar w:left="320" w:top="459" w:right="7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consolidated financial statements. The unaudited consolidated quarterly financial information includes all adjustments, consisting only of normal and recurring adjustments that we consider necessary for a fair representation of our operating results for the quarters presented. Our historical results for any particular quarter are not necessarily indicative of our future results.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For the three months ended</w:t>
            </w: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560" w:type="dxa"/>
            <w:vAlign w:val="bottom"/>
          </w:tcPr>
          <w:p>
            <w:pPr>
              <w:spacing w:after="0"/>
              <w:rPr>
                <w:sz w:val="10"/>
                <w:szCs w:val="10"/>
                <w:color w:val="auto"/>
              </w:rPr>
            </w:pPr>
          </w:p>
        </w:tc>
        <w:tc>
          <w:tcPr>
            <w:tcW w:w="84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jc w:val="center"/>
              <w:ind w:right="119"/>
              <w:spacing w:after="0" w:line="119" w:lineRule="exact"/>
              <w:rPr>
                <w:sz w:val="20"/>
                <w:szCs w:val="20"/>
                <w:color w:val="auto"/>
              </w:rPr>
            </w:pPr>
            <w:r>
              <w:rPr>
                <w:rFonts w:ascii="Arial" w:cs="Arial" w:eastAsia="Arial" w:hAnsi="Arial"/>
                <w:sz w:val="13"/>
                <w:szCs w:val="13"/>
                <w:b w:val="1"/>
                <w:bCs w:val="1"/>
                <w:color w:val="auto"/>
                <w:w w:val="96"/>
              </w:rPr>
              <w:t>June 30,</w:t>
            </w: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jc w:val="center"/>
              <w:ind w:right="119"/>
              <w:spacing w:after="0" w:line="119" w:lineRule="exact"/>
              <w:rPr>
                <w:sz w:val="20"/>
                <w:szCs w:val="20"/>
                <w:color w:val="auto"/>
              </w:rPr>
            </w:pPr>
            <w:r>
              <w:rPr>
                <w:rFonts w:ascii="Arial" w:cs="Arial" w:eastAsia="Arial" w:hAnsi="Arial"/>
                <w:sz w:val="13"/>
                <w:szCs w:val="13"/>
                <w:b w:val="1"/>
                <w:bCs w:val="1"/>
                <w:color w:val="auto"/>
                <w:w w:val="96"/>
              </w:rPr>
              <w:t>June 30,</w:t>
            </w: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3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gridSpan w:val="2"/>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Public cloud services</w:t>
            </w:r>
          </w:p>
        </w:tc>
        <w:tc>
          <w:tcPr>
            <w:tcW w:w="640" w:type="dxa"/>
            <w:vAlign w:val="bottom"/>
          </w:tcPr>
          <w:p>
            <w:pPr>
              <w:jc w:val="right"/>
              <w:spacing w:after="0"/>
              <w:rPr>
                <w:sz w:val="20"/>
                <w:szCs w:val="20"/>
                <w:color w:val="auto"/>
              </w:rPr>
            </w:pPr>
            <w:r>
              <w:rPr>
                <w:rFonts w:ascii="Arial" w:cs="Arial" w:eastAsia="Arial" w:hAnsi="Arial"/>
                <w:sz w:val="16"/>
                <w:szCs w:val="16"/>
                <w:color w:val="auto"/>
              </w:rPr>
              <w:t>427,261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454,439</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572,532</w:t>
            </w:r>
          </w:p>
        </w:tc>
        <w:tc>
          <w:tcPr>
            <w:tcW w:w="840" w:type="dxa"/>
            <w:vAlign w:val="bottom"/>
          </w:tcPr>
          <w:p>
            <w:pPr>
              <w:jc w:val="right"/>
              <w:spacing w:after="0"/>
              <w:rPr>
                <w:sz w:val="20"/>
                <w:szCs w:val="20"/>
                <w:color w:val="auto"/>
              </w:rPr>
            </w:pPr>
            <w:r>
              <w:rPr>
                <w:rFonts w:ascii="Arial" w:cs="Arial" w:eastAsia="Arial" w:hAnsi="Arial"/>
                <w:sz w:val="16"/>
                <w:szCs w:val="16"/>
                <w:color w:val="auto"/>
              </w:rPr>
              <w:t>656,281</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762,835</w:t>
            </w:r>
          </w:p>
        </w:tc>
        <w:tc>
          <w:tcPr>
            <w:tcW w:w="20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866,348</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884,518</w:t>
            </w:r>
          </w:p>
        </w:tc>
        <w:tc>
          <w:tcPr>
            <w:tcW w:w="840" w:type="dxa"/>
            <w:vAlign w:val="bottom"/>
          </w:tcPr>
          <w:p>
            <w:pPr>
              <w:jc w:val="right"/>
              <w:spacing w:after="0"/>
              <w:rPr>
                <w:sz w:val="20"/>
                <w:szCs w:val="20"/>
                <w:color w:val="auto"/>
              </w:rPr>
            </w:pPr>
            <w:r>
              <w:rPr>
                <w:rFonts w:ascii="Arial" w:cs="Arial" w:eastAsia="Arial" w:hAnsi="Arial"/>
                <w:sz w:val="16"/>
                <w:szCs w:val="16"/>
                <w:color w:val="auto"/>
              </w:rPr>
              <w:t>945,142</w:t>
            </w:r>
          </w:p>
        </w:tc>
        <w:tc>
          <w:tcPr>
            <w:tcW w:w="100" w:type="dxa"/>
            <w:vAlign w:val="bottom"/>
          </w:tcPr>
          <w:p>
            <w:pPr>
              <w:spacing w:after="0"/>
              <w:rPr>
                <w:sz w:val="17"/>
                <w:szCs w:val="17"/>
                <w:color w:val="auto"/>
              </w:rPr>
            </w:pP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Enterprise cloud services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1,038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24,158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63,436</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68,465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114,450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220,427</w:t>
            </w:r>
          </w:p>
        </w:tc>
        <w:tc>
          <w:tcPr>
            <w:tcW w:w="100" w:type="dxa"/>
            <w:vAlign w:val="bottom"/>
            <w:shd w:val="clear" w:color="auto" w:fill="CCEEFF"/>
          </w:tcPr>
          <w:p>
            <w:pPr>
              <w:spacing w:after="0"/>
              <w:rPr>
                <w:sz w:val="17"/>
                <w:szCs w:val="17"/>
                <w:color w:val="auto"/>
              </w:rPr>
            </w:pPr>
          </w:p>
        </w:tc>
      </w:tr>
      <w:tr>
        <w:trPr>
          <w:trHeight w:val="209"/>
        </w:trPr>
        <w:tc>
          <w:tcPr>
            <w:tcW w:w="3560" w:type="dxa"/>
            <w:vAlign w:val="bottom"/>
          </w:tcPr>
          <w:p>
            <w:pPr>
              <w:ind w:left="320"/>
              <w:spacing w:after="0"/>
              <w:rPr>
                <w:sz w:val="20"/>
                <w:szCs w:val="20"/>
                <w:color w:val="auto"/>
              </w:rPr>
            </w:pPr>
            <w:r>
              <w:rPr>
                <w:rFonts w:ascii="Arial" w:cs="Arial" w:eastAsia="Arial" w:hAnsi="Arial"/>
                <w:sz w:val="16"/>
                <w:szCs w:val="16"/>
                <w:color w:val="auto"/>
              </w:rPr>
              <w:t>Others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8,071</w:t>
            </w:r>
          </w:p>
        </w:tc>
        <w:tc>
          <w:tcPr>
            <w:tcW w:w="100" w:type="dxa"/>
            <w:vAlign w:val="bottom"/>
          </w:tcPr>
          <w:p>
            <w:pPr>
              <w:spacing w:after="0"/>
              <w:rPr>
                <w:sz w:val="18"/>
                <w:szCs w:val="18"/>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435,199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459,215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599,417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724,341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845,801</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935,122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1,001,790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1,173,640</w:t>
            </w:r>
          </w:p>
        </w:tc>
        <w:tc>
          <w:tcPr>
            <w:tcW w:w="100" w:type="dxa"/>
            <w:vAlign w:val="bottom"/>
            <w:shd w:val="clear" w:color="auto" w:fill="CCEEFF"/>
          </w:tcPr>
          <w:p>
            <w:pPr>
              <w:spacing w:after="0"/>
              <w:rPr>
                <w:sz w:val="17"/>
                <w:szCs w:val="17"/>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Cost of revenues</w:t>
            </w: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w w:val="96"/>
              </w:rPr>
              <w:t>(480,493)</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w w:val="96"/>
              </w:rPr>
              <w:t>(492,244)</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(659,293)</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(786,532)</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(890,874)</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w w:val="96"/>
              </w:rPr>
              <w:t>(955,407)</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(983,046)</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(1,119,317)</w:t>
            </w:r>
          </w:p>
        </w:tc>
      </w:tr>
      <w:tr>
        <w:trPr>
          <w:trHeight w:val="27"/>
        </w:trPr>
        <w:tc>
          <w:tcPr>
            <w:tcW w:w="3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(loss)/profit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(45,294)</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(33,029)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(59,876)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(62,191)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(45,073)</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(20,285)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18,744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54,323</w:t>
            </w:r>
          </w:p>
        </w:tc>
        <w:tc>
          <w:tcPr>
            <w:tcW w:w="100" w:type="dxa"/>
            <w:vAlign w:val="bottom"/>
            <w:shd w:val="clear" w:color="auto" w:fill="CCEEFF"/>
          </w:tcPr>
          <w:p>
            <w:pPr>
              <w:spacing w:after="0"/>
              <w:rPr>
                <w:sz w:val="17"/>
                <w:szCs w:val="17"/>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expenses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(33,461)</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(36,074)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(46,303)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(75,833)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(52,818)</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(79,013)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(87,309)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(98,286)</w:t>
            </w: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General and administrative expenses</w:t>
            </w: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(23,512)</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(32,054)</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(40,341)</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(50,939)</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(35,130)</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(60,782)</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(55,491)</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(87,245)</w:t>
            </w: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 expenses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6"/>
              </w:rPr>
              <w:t>(104,173)</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(94,689)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(122,762)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(118,894)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(124,364)</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96"/>
              </w:rPr>
              <w:t>(143,468)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(155,853)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(171,484)</w:t>
            </w:r>
          </w:p>
        </w:tc>
      </w:tr>
      <w:tr>
        <w:trPr>
          <w:trHeight w:val="217"/>
        </w:trPr>
        <w:tc>
          <w:tcPr>
            <w:tcW w:w="356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(161,146</w:t>
            </w:r>
          </w:p>
        </w:tc>
        <w:tc>
          <w:tcPr>
            <w:tcW w:w="20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(162,817</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(209,406)</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(245,666)</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(212,312</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(283,263</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(298,653)</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(357,015)</w:t>
            </w:r>
          </w:p>
        </w:tc>
        <w:tc>
          <w:tcPr>
            <w:tcW w:w="100" w:type="dxa"/>
            <w:vAlign w:val="bottom"/>
          </w:tcPr>
          <w:p>
            <w:pPr>
              <w:spacing w:after="0"/>
              <w:rPr>
                <w:sz w:val="18"/>
                <w:szCs w:val="18"/>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(Loss)/Income from operations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96"/>
              </w:rPr>
              <w:t>(206,440)</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6"/>
              </w:rPr>
              <w:t>(195,846)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(269,282)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(307,857)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6"/>
              </w:rPr>
              <w:t>(257,385)</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6"/>
              </w:rPr>
              <w:t>(303,548)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(279,909)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(302,692)</w:t>
            </w:r>
          </w:p>
        </w:tc>
      </w:tr>
      <w:tr>
        <w:trPr>
          <w:trHeight w:val="203"/>
        </w:trPr>
        <w:tc>
          <w:tcPr>
            <w:tcW w:w="3560" w:type="dxa"/>
            <w:vAlign w:val="bottom"/>
          </w:tcPr>
          <w:p>
            <w:pPr>
              <w:spacing w:after="0"/>
              <w:rPr>
                <w:sz w:val="20"/>
                <w:szCs w:val="20"/>
                <w:color w:val="auto"/>
              </w:rPr>
            </w:pPr>
            <w:r>
              <w:rPr>
                <w:rFonts w:ascii="Arial" w:cs="Arial" w:eastAsia="Arial" w:hAnsi="Arial"/>
                <w:sz w:val="16"/>
                <w:szCs w:val="16"/>
                <w:b w:val="1"/>
                <w:bCs w:val="1"/>
                <w:color w:val="auto"/>
              </w:rPr>
              <w:t>Other income/(expenses)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33,900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35,896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23,699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17,291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11,636</w:t>
            </w:r>
          </w:p>
        </w:tc>
      </w:tr>
      <w:tr>
        <w:trPr>
          <w:trHeight w:val="202"/>
        </w:trPr>
        <w:tc>
          <w:tcPr>
            <w:tcW w:w="356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(11,115)</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(10,363)</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(9,194)</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(8,154)</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(2,900)</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(2,025)</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gain/(loss)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(66,602)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(63,692)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(4,144)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24,793</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(38,625)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(81,882)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56,753</w:t>
            </w:r>
          </w:p>
        </w:tc>
        <w:tc>
          <w:tcPr>
            <w:tcW w:w="100" w:type="dxa"/>
            <w:vAlign w:val="bottom"/>
            <w:shd w:val="clear" w:color="auto" w:fill="CCEEFF"/>
          </w:tcPr>
          <w:p>
            <w:pPr>
              <w:spacing w:after="0"/>
              <w:rPr>
                <w:sz w:val="17"/>
                <w:szCs w:val="17"/>
                <w:color w:val="auto"/>
              </w:rPr>
            </w:pPr>
          </w:p>
        </w:tc>
      </w:tr>
      <w:tr>
        <w:trPr>
          <w:trHeight w:val="203"/>
        </w:trPr>
        <w:tc>
          <w:tcPr>
            <w:tcW w:w="3560" w:type="dxa"/>
            <w:vAlign w:val="bottom"/>
          </w:tcPr>
          <w:p>
            <w:pPr>
              <w:ind w:left="320"/>
              <w:spacing w:after="0"/>
              <w:rPr>
                <w:sz w:val="20"/>
                <w:szCs w:val="20"/>
                <w:color w:val="auto"/>
              </w:rPr>
            </w:pPr>
            <w:r>
              <w:rPr>
                <w:rFonts w:ascii="Arial" w:cs="Arial" w:eastAsia="Arial" w:hAnsi="Arial"/>
                <w:sz w:val="16"/>
                <w:szCs w:val="16"/>
                <w:color w:val="auto"/>
              </w:rPr>
              <w:t>Changes in fair value of financial instruments</w:t>
            </w:r>
          </w:p>
        </w:tc>
        <w:tc>
          <w:tcPr>
            <w:tcW w:w="640" w:type="dxa"/>
            <w:vAlign w:val="bottom"/>
          </w:tcPr>
          <w:p>
            <w:pPr>
              <w:jc w:val="right"/>
              <w:spacing w:after="0"/>
              <w:rPr>
                <w:sz w:val="20"/>
                <w:szCs w:val="20"/>
                <w:color w:val="auto"/>
              </w:rPr>
            </w:pPr>
            <w:r>
              <w:rPr>
                <w:rFonts w:ascii="Arial" w:cs="Arial" w:eastAsia="Arial" w:hAnsi="Arial"/>
                <w:sz w:val="16"/>
                <w:szCs w:val="16"/>
                <w:color w:val="auto"/>
              </w:rPr>
              <w:t>3,889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2,515</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Others, net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(85)</w:t>
            </w: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2,652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(3,781)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(3,195)</w:t>
            </w:r>
          </w:p>
        </w:tc>
      </w:tr>
      <w:tr>
        <w:trPr>
          <w:trHeight w:val="207"/>
        </w:trPr>
        <w:tc>
          <w:tcPr>
            <w:tcW w:w="3560" w:type="dxa"/>
            <w:vAlign w:val="bottom"/>
          </w:tcPr>
          <w:p>
            <w:pPr>
              <w:spacing w:after="0"/>
              <w:rPr>
                <w:sz w:val="20"/>
                <w:szCs w:val="20"/>
                <w:color w:val="auto"/>
              </w:rPr>
            </w:pPr>
            <w:r>
              <w:rPr>
                <w:rFonts w:ascii="Arial" w:cs="Arial" w:eastAsia="Arial" w:hAnsi="Arial"/>
                <w:sz w:val="16"/>
                <w:szCs w:val="16"/>
                <w:b w:val="1"/>
                <w:bCs w:val="1"/>
                <w:color w:val="auto"/>
              </w:rPr>
              <w:t>(Loss)/Income before income tax</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(165,771)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(236,299)</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(306,316)</w:t>
            </w:r>
          </w:p>
        </w:tc>
        <w:tc>
          <w:tcPr>
            <w:tcW w:w="2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(288,424)</w:t>
            </w:r>
          </w:p>
        </w:tc>
        <w:tc>
          <w:tcPr>
            <w:tcW w:w="20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(198,570)</w:t>
            </w:r>
          </w:p>
        </w:tc>
        <w:tc>
          <w:tcPr>
            <w:tcW w:w="2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(317,847)</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(348,281)</w:t>
            </w:r>
          </w:p>
        </w:tc>
        <w:tc>
          <w:tcPr>
            <w:tcW w:w="2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(237,498)</w:t>
            </w:r>
          </w:p>
        </w:tc>
        <w:tc>
          <w:tcPr>
            <w:tcW w:w="100" w:type="dxa"/>
            <w:vAlign w:val="bottom"/>
          </w:tcPr>
          <w:p>
            <w:pPr>
              <w:spacing w:after="0"/>
              <w:rPr>
                <w:sz w:val="17"/>
                <w:szCs w:val="17"/>
                <w:color w:val="auto"/>
              </w:rPr>
            </w:pPr>
          </w:p>
        </w:tc>
      </w:tr>
      <w:tr>
        <w:trPr>
          <w:trHeight w:val="205"/>
        </w:trPr>
        <w:tc>
          <w:tcPr>
            <w:tcW w:w="3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credit/(expense)</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(1,871)</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(2,199)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(2,623)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(2,939)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(2,790)</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(1,892)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(2,311)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(2,010)</w:t>
            </w:r>
          </w:p>
        </w:tc>
      </w:tr>
      <w:tr>
        <w:trPr>
          <w:trHeight w:val="207"/>
        </w:trPr>
        <w:tc>
          <w:tcPr>
            <w:tcW w:w="3560" w:type="dxa"/>
            <w:vAlign w:val="bottom"/>
          </w:tcPr>
          <w:p>
            <w:pPr>
              <w:spacing w:after="0"/>
              <w:rPr>
                <w:sz w:val="20"/>
                <w:szCs w:val="20"/>
                <w:color w:val="auto"/>
              </w:rPr>
            </w:pPr>
            <w:r>
              <w:rPr>
                <w:rFonts w:ascii="Arial" w:cs="Arial" w:eastAsia="Arial" w:hAnsi="Arial"/>
                <w:sz w:val="16"/>
                <w:szCs w:val="16"/>
                <w:b w:val="1"/>
                <w:bCs w:val="1"/>
                <w:color w:val="auto"/>
              </w:rPr>
              <w:t>Net (loss)/income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(167,642</w:t>
            </w:r>
          </w:p>
        </w:tc>
        <w:tc>
          <w:tcPr>
            <w:tcW w:w="20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(238,498</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(308,939)</w:t>
            </w:r>
          </w:p>
        </w:tc>
        <w:tc>
          <w:tcPr>
            <w:tcW w:w="2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(291,363)</w:t>
            </w:r>
          </w:p>
        </w:tc>
        <w:tc>
          <w:tcPr>
            <w:tcW w:w="20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(201,360</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(319,739</w:t>
            </w:r>
          </w:p>
        </w:tc>
        <w:tc>
          <w:tcPr>
            <w:tcW w:w="200" w:type="dxa"/>
            <w:vAlign w:val="bottom"/>
          </w:tcPr>
          <w:p>
            <w:pPr>
              <w:jc w:val="right"/>
              <w:ind w:right="59"/>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(350,592)</w:t>
            </w:r>
          </w:p>
        </w:tc>
        <w:tc>
          <w:tcPr>
            <w:tcW w:w="20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(239,508)</w:t>
            </w:r>
          </w:p>
        </w:tc>
        <w:tc>
          <w:tcPr>
            <w:tcW w:w="10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generally experienced steady growth in our quarterly revenues for the eight quarters in the period from January 1, 2018 to December 31, 2019, among which (i) our revenues generated from public cloud services continued to increase primarily driven by the increased average revenues per Public Cloud Service Premium Customer and increase in the number of our Public Cloud Service Premium Customers; (ii) our revenues generated from enterprise cloud services generally continued to increase primarily driven by increase in the number of our Enterprise Cloud Service Premium Customers, except for decline in the second quarter of 2018 as compared with the first quarter of 2018 and decline in the second quarter of 2019 as compared with the first quarter of 2019 as our enterprise cloud services are provided on a project basis and the completion and delivery of each project varies, depending on, among others, the needs of our customers and therefore we experienced certain fluctuation in quarterly revenues; and (iii) our other revenues experienced fluctuation as we started to strategically streamline our advertising placement agency services in 2018 and discontinued such services in the first quarter of 2019, and our other revenues continued to increase since the second quarter of 2019 which was attributable to services ancillary to our other revenue streams such as AIoT solutions. The trend we experienced in the past with respect to our total revenues or revenues generated from each revenue stream may not apply to, or be indicative of, our future operating results.</w:t>
      </w:r>
    </w:p>
    <w:p>
      <w:pPr>
        <w:spacing w:after="0" w:line="172"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Our cost of revenues increased for the eight quarters in the period from January 1, 2018 to December 31, 2019 as a result of our business expansion. We realized gross profit in both the third and fourth quarter of 2019 primarily resulting from economies of scale and our enhanced efficiency.</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operating expenses increased in absolute amounts for the eight quarters in the period from January 1, 2018 to December 31, 2019, which was in line with our revenues growth and business expansion.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evaluating our business, we consider and use certain non-GAAP measures, adjusted gross (loss)/profit, adjusted gross margin, adjusted EBITDA and adjusted EDITDA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define adjusted gross (loss)/profit as gross (loss)/profit excluding share-based compensation allocated in the cost of revenues, and we define adjusted gross margin as adjusted gross (loss)/profit as a percentage of revenues. We define adjusted net loss as net loss excluding share-based compensation, foreign exchange (gain)/loss, changes in fair value of financial instruments and other (income)/expense, net. We define adjusted EBITDA as adjusted net loss excluding interest income, interest expense, income tax expense and depreciation and amortization, and we define adjusted EBITDA margin as adjusted EBITDA as a percentage of revenues.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spacing w:after="0" w:line="18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spacing w:after="0" w:line="17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following tables reconcile our adjusted gross (loss)/profit, adjusted net loss and adjusted EBITDA in 2017, 2018 and 2019 to the most directly comparable financial measure calculated and presented in accordance with U.S. GAAP, which are gross (loss)/profit and net loss: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20"/>
          </w:tcPr>
          <w:p>
            <w:pPr>
              <w:jc w:val="center"/>
              <w:ind w:right="220"/>
              <w:spacing w:after="0"/>
              <w:rPr>
                <w:sz w:val="20"/>
                <w:szCs w:val="20"/>
                <w:color w:val="auto"/>
              </w:rPr>
            </w:pPr>
            <w:r>
              <w:rPr>
                <w:rFonts w:ascii="Arial" w:cs="Arial" w:eastAsia="Arial" w:hAnsi="Arial"/>
                <w:sz w:val="14"/>
                <w:szCs w:val="14"/>
                <w:b w:val="1"/>
                <w:bCs w:val="1"/>
                <w:color w:val="auto"/>
                <w:w w:val="94"/>
              </w:rPr>
              <w:t>For the Year Ended December 31,</w:t>
            </w: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9"/>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(118,186)</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(200,390)</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7,709</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1,108</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Adjustments:</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Share-based compensation (allocated in cost of revenues)</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88"/>
              </w:rPr>
              <w:t>3,565</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8,509</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6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Adjusted gross (loss)/profit</w:t>
            </w:r>
          </w:p>
        </w:tc>
        <w:tc>
          <w:tcPr>
            <w:tcW w:w="1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(111,635)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(196,825</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4"/>
              </w:rPr>
              <w:t>16,218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8"/>
              </w:rPr>
              <w:t>2,330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15"/>
          </w:tcPr>
          <w:p>
            <w:pPr>
              <w:jc w:val="right"/>
              <w:ind w:right="280"/>
              <w:spacing w:after="0"/>
              <w:rPr>
                <w:sz w:val="20"/>
                <w:szCs w:val="20"/>
                <w:color w:val="auto"/>
              </w:rPr>
            </w:pPr>
            <w:r>
              <w:rPr>
                <w:rFonts w:ascii="Arial" w:cs="Arial" w:eastAsia="Arial" w:hAnsi="Arial"/>
                <w:sz w:val="14"/>
                <w:szCs w:val="14"/>
                <w:b w:val="1"/>
                <w:bCs w:val="1"/>
                <w:color w:val="auto"/>
                <w:w w:val="95"/>
              </w:rPr>
              <w:t>For the Year Ended December 31,</w:t>
            </w: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w:t>
            </w: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0.4</w:t>
            </w:r>
          </w:p>
        </w:tc>
      </w:tr>
      <w:tr>
        <w:trPr>
          <w:trHeight w:val="373"/>
        </w:trPr>
        <w:tc>
          <w:tcPr>
            <w:tcW w:w="4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4"/>
          </w:tcPr>
          <w:p>
            <w:pPr>
              <w:ind w:left="80"/>
              <w:spacing w:after="0"/>
              <w:rPr>
                <w:sz w:val="20"/>
                <w:szCs w:val="20"/>
                <w:color w:val="auto"/>
              </w:rPr>
            </w:pPr>
            <w:r>
              <w:rPr>
                <w:rFonts w:ascii="Arial" w:cs="Arial" w:eastAsia="Arial" w:hAnsi="Arial"/>
                <w:sz w:val="14"/>
                <w:szCs w:val="14"/>
                <w:b w:val="1"/>
                <w:bCs w:val="1"/>
                <w:color w:val="auto"/>
              </w:rPr>
              <w:t>For the Year Ended December 31,</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7"/>
          </w:tcPr>
          <w:p>
            <w:pPr>
              <w:ind w:left="40"/>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Borders>
              <w:top w:val="single" w:sz="8" w:color="auto"/>
              <w:bottom w:val="single" w:sz="8" w:color="auto"/>
            </w:tcBorders>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(714,250)</w:t>
            </w:r>
          </w:p>
        </w:tc>
        <w:tc>
          <w:tcPr>
            <w:tcW w:w="1380" w:type="dxa"/>
            <w:vAlign w:val="bottom"/>
            <w:tcBorders>
              <w:right w:val="single" w:sz="8" w:color="CCEEFF"/>
            </w:tcBorders>
            <w:gridSpan w:val="7"/>
            <w:shd w:val="clear" w:color="auto" w:fill="CCEEFF"/>
          </w:tcPr>
          <w:p>
            <w:pPr>
              <w:jc w:val="right"/>
              <w:ind w:right="144"/>
              <w:spacing w:after="0"/>
              <w:rPr>
                <w:sz w:val="20"/>
                <w:szCs w:val="20"/>
                <w:color w:val="auto"/>
              </w:rPr>
            </w:pPr>
            <w:r>
              <w:rPr>
                <w:rFonts w:ascii="Arial" w:cs="Arial" w:eastAsia="Arial" w:hAnsi="Arial"/>
                <w:sz w:val="18"/>
                <w:szCs w:val="18"/>
                <w:b w:val="1"/>
                <w:bCs w:val="1"/>
                <w:color w:val="auto"/>
              </w:rPr>
              <w:t>(1,006,442)</w:t>
            </w:r>
          </w:p>
        </w:tc>
        <w:tc>
          <w:tcPr>
            <w:tcW w:w="12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(1,111,199)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(159,612)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Adjustment:</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91,009</w:t>
            </w:r>
          </w:p>
        </w:tc>
        <w:tc>
          <w:tcPr>
            <w:tcW w:w="1380" w:type="dxa"/>
            <w:vAlign w:val="bottom"/>
            <w:tcBorders>
              <w:right w:val="single" w:sz="8" w:color="CCEEFF"/>
            </w:tcBorders>
            <w:gridSpan w:val="7"/>
            <w:shd w:val="clear" w:color="auto" w:fill="CCEEFF"/>
          </w:tcPr>
          <w:p>
            <w:pPr>
              <w:jc w:val="right"/>
              <w:ind w:right="204"/>
              <w:spacing w:after="0"/>
              <w:rPr>
                <w:sz w:val="20"/>
                <w:szCs w:val="20"/>
                <w:color w:val="auto"/>
              </w:rPr>
            </w:pPr>
            <w:r>
              <w:rPr>
                <w:rFonts w:ascii="Arial" w:cs="Arial" w:eastAsia="Arial" w:hAnsi="Arial"/>
                <w:sz w:val="18"/>
                <w:szCs w:val="18"/>
                <w:color w:val="auto"/>
              </w:rPr>
              <w:t>46,941</w:t>
            </w:r>
          </w:p>
        </w:tc>
        <w:tc>
          <w:tcPr>
            <w:tcW w:w="2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121,279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Foreign exchange (gain)/loss</w:t>
            </w:r>
          </w:p>
        </w:tc>
        <w:tc>
          <w:tcPr>
            <w:tcW w:w="2540" w:type="dxa"/>
            <w:vAlign w:val="bottom"/>
            <w:gridSpan w:val="3"/>
          </w:tcPr>
          <w:p>
            <w:pPr>
              <w:jc w:val="right"/>
              <w:ind w:right="20"/>
              <w:spacing w:after="0"/>
              <w:rPr>
                <w:sz w:val="20"/>
                <w:szCs w:val="20"/>
                <w:color w:val="auto"/>
              </w:rPr>
            </w:pPr>
            <w:r>
              <w:rPr>
                <w:rFonts w:ascii="Arial" w:cs="Arial" w:eastAsia="Arial" w:hAnsi="Arial"/>
                <w:sz w:val="18"/>
                <w:szCs w:val="18"/>
                <w:color w:val="auto"/>
              </w:rPr>
              <w:t>(25,863)</w:t>
            </w:r>
          </w:p>
        </w:tc>
        <w:tc>
          <w:tcPr>
            <w:tcW w:w="1380" w:type="dxa"/>
            <w:vAlign w:val="bottom"/>
            <w:gridSpan w:val="7"/>
          </w:tcPr>
          <w:p>
            <w:pPr>
              <w:jc w:val="right"/>
              <w:ind w:right="204"/>
              <w:spacing w:after="0"/>
              <w:rPr>
                <w:sz w:val="20"/>
                <w:szCs w:val="20"/>
                <w:color w:val="auto"/>
              </w:rPr>
            </w:pPr>
            <w:r>
              <w:rPr>
                <w:rFonts w:ascii="Arial" w:cs="Arial" w:eastAsia="Arial" w:hAnsi="Arial"/>
                <w:sz w:val="18"/>
                <w:szCs w:val="18"/>
                <w:color w:val="auto"/>
              </w:rPr>
              <w:t>102,202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38,961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5,596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of financial instruments</w:t>
            </w:r>
          </w:p>
        </w:tc>
        <w:tc>
          <w:tcPr>
            <w:tcW w:w="2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1380" w:type="dxa"/>
            <w:vAlign w:val="bottom"/>
            <w:tcBorders>
              <w:right w:val="single" w:sz="8" w:color="CCEEFF"/>
            </w:tcBorders>
            <w:gridSpan w:val="7"/>
            <w:shd w:val="clear" w:color="auto" w:fill="CCEEFF"/>
          </w:tcPr>
          <w:p>
            <w:pPr>
              <w:jc w:val="right"/>
              <w:ind w:right="144"/>
              <w:spacing w:after="0"/>
              <w:rPr>
                <w:sz w:val="20"/>
                <w:szCs w:val="20"/>
                <w:color w:val="auto"/>
              </w:rPr>
            </w:pPr>
            <w:r>
              <w:rPr>
                <w:rFonts w:ascii="Arial" w:cs="Arial" w:eastAsia="Arial" w:hAnsi="Arial"/>
                <w:sz w:val="18"/>
                <w:szCs w:val="18"/>
                <w:color w:val="auto"/>
              </w:rPr>
              <w:t>(6,404)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Other (income)/expense, net</w:t>
            </w:r>
          </w:p>
        </w:tc>
        <w:tc>
          <w:tcPr>
            <w:tcW w:w="16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(1,226)</w:t>
            </w:r>
          </w:p>
        </w:tc>
        <w:tc>
          <w:tcPr>
            <w:tcW w:w="1380" w:type="dxa"/>
            <w:vAlign w:val="bottom"/>
            <w:gridSpan w:val="7"/>
          </w:tcPr>
          <w:p>
            <w:pPr>
              <w:jc w:val="right"/>
              <w:ind w:right="144"/>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(6,612)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1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(653,346)</w:t>
            </w:r>
          </w:p>
        </w:tc>
        <w:tc>
          <w:tcPr>
            <w:tcW w:w="1380" w:type="dxa"/>
            <w:vAlign w:val="bottom"/>
            <w:tcBorders>
              <w:right w:val="single" w:sz="8" w:color="CCEEFF"/>
            </w:tcBorders>
            <w:gridSpan w:val="7"/>
            <w:shd w:val="clear" w:color="auto" w:fill="CCEEFF"/>
          </w:tcPr>
          <w:p>
            <w:pPr>
              <w:jc w:val="right"/>
              <w:ind w:right="144"/>
              <w:spacing w:after="0"/>
              <w:rPr>
                <w:sz w:val="20"/>
                <w:szCs w:val="20"/>
                <w:color w:val="auto"/>
              </w:rPr>
            </w:pPr>
            <w:r>
              <w:rPr>
                <w:rFonts w:ascii="Arial" w:cs="Arial" w:eastAsia="Arial" w:hAnsi="Arial"/>
                <w:sz w:val="18"/>
                <w:szCs w:val="18"/>
                <w:b w:val="1"/>
                <w:bCs w:val="1"/>
                <w:color w:val="auto"/>
              </w:rPr>
              <w:t>(864,442)</w:t>
            </w:r>
          </w:p>
        </w:tc>
        <w:tc>
          <w:tcPr>
            <w:tcW w:w="2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(957,571)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(137,545)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Adjustments:</w:t>
            </w:r>
          </w:p>
        </w:tc>
        <w:tc>
          <w:tcPr>
            <w:tcW w:w="16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(19,628)</w:t>
            </w:r>
          </w:p>
        </w:tc>
        <w:tc>
          <w:tcPr>
            <w:tcW w:w="1380" w:type="dxa"/>
            <w:vAlign w:val="bottom"/>
            <w:tcBorders>
              <w:right w:val="single" w:sz="8" w:color="CCEEFF"/>
            </w:tcBorders>
            <w:gridSpan w:val="7"/>
            <w:shd w:val="clear" w:color="auto" w:fill="CCEEFF"/>
          </w:tcPr>
          <w:p>
            <w:pPr>
              <w:jc w:val="right"/>
              <w:ind w:right="144"/>
              <w:spacing w:after="0"/>
              <w:rPr>
                <w:sz w:val="20"/>
                <w:szCs w:val="20"/>
                <w:color w:val="auto"/>
              </w:rPr>
            </w:pPr>
            <w:r>
              <w:rPr>
                <w:rFonts w:ascii="Arial" w:cs="Arial" w:eastAsia="Arial" w:hAnsi="Arial"/>
                <w:sz w:val="18"/>
                <w:szCs w:val="18"/>
                <w:color w:val="auto"/>
              </w:rPr>
              <w:t>(116,500)</w:t>
            </w:r>
          </w:p>
        </w:tc>
        <w:tc>
          <w:tcPr>
            <w:tcW w:w="2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(78,612)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540" w:type="dxa"/>
            <w:vAlign w:val="bottom"/>
            <w:gridSpan w:val="3"/>
          </w:tcPr>
          <w:p>
            <w:pPr>
              <w:jc w:val="right"/>
              <w:ind w:right="80"/>
              <w:spacing w:after="0"/>
              <w:rPr>
                <w:sz w:val="20"/>
                <w:szCs w:val="20"/>
                <w:color w:val="auto"/>
              </w:rPr>
            </w:pPr>
            <w:r>
              <w:rPr>
                <w:rFonts w:ascii="Arial" w:cs="Arial" w:eastAsia="Arial" w:hAnsi="Arial"/>
                <w:sz w:val="18"/>
                <w:szCs w:val="18"/>
                <w:color w:val="auto"/>
              </w:rPr>
              <w:t>36,410</w:t>
            </w:r>
          </w:p>
        </w:tc>
        <w:tc>
          <w:tcPr>
            <w:tcW w:w="1380" w:type="dxa"/>
            <w:vAlign w:val="bottom"/>
            <w:gridSpan w:val="7"/>
          </w:tcPr>
          <w:p>
            <w:pPr>
              <w:jc w:val="right"/>
              <w:ind w:right="204"/>
              <w:spacing w:after="0"/>
              <w:rPr>
                <w:sz w:val="20"/>
                <w:szCs w:val="20"/>
                <w:color w:val="auto"/>
              </w:rPr>
            </w:pPr>
            <w:r>
              <w:rPr>
                <w:rFonts w:ascii="Arial" w:cs="Arial" w:eastAsia="Arial" w:hAnsi="Arial"/>
                <w:sz w:val="18"/>
                <w:szCs w:val="18"/>
                <w:color w:val="auto"/>
              </w:rPr>
              <w:t>38,826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1380" w:type="dxa"/>
            <w:vAlign w:val="bottom"/>
            <w:tcBorders>
              <w:right w:val="single" w:sz="8" w:color="CCEEFF"/>
            </w:tcBorders>
            <w:gridSpan w:val="7"/>
            <w:shd w:val="clear" w:color="auto" w:fill="CCEEFF"/>
          </w:tcPr>
          <w:p>
            <w:pPr>
              <w:jc w:val="right"/>
              <w:ind w:right="204"/>
              <w:spacing w:after="0"/>
              <w:rPr>
                <w:sz w:val="20"/>
                <w:szCs w:val="20"/>
                <w:color w:val="auto"/>
              </w:rPr>
            </w:pPr>
            <w:r>
              <w:rPr>
                <w:rFonts w:ascii="Arial" w:cs="Arial" w:eastAsia="Arial" w:hAnsi="Arial"/>
                <w:sz w:val="18"/>
                <w:szCs w:val="18"/>
                <w:color w:val="auto"/>
              </w:rPr>
              <w:t>9,632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297,647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6"/>
          </w:tcPr>
          <w:p>
            <w:pPr>
              <w:jc w:val="right"/>
              <w:ind w:right="204"/>
              <w:spacing w:after="0"/>
              <w:rPr>
                <w:sz w:val="20"/>
                <w:szCs w:val="20"/>
                <w:color w:val="auto"/>
              </w:rPr>
            </w:pPr>
            <w:r>
              <w:rPr>
                <w:rFonts w:ascii="Arial" w:cs="Arial" w:eastAsia="Arial" w:hAnsi="Arial"/>
                <w:sz w:val="18"/>
                <w:szCs w:val="18"/>
                <w:color w:val="auto"/>
              </w:rPr>
              <w:t>412,352</w:t>
            </w:r>
          </w:p>
        </w:tc>
        <w:tc>
          <w:tcPr>
            <w:tcW w:w="240" w:type="dxa"/>
            <w:vAlign w:val="bottom"/>
          </w:tcPr>
          <w:p>
            <w:pPr>
              <w:spacing w:after="0"/>
              <w:rPr>
                <w:sz w:val="18"/>
                <w:szCs w:val="18"/>
                <w:color w:val="auto"/>
              </w:rPr>
            </w:pPr>
          </w:p>
        </w:tc>
        <w:tc>
          <w:tcPr>
            <w:tcW w:w="960" w:type="dxa"/>
            <w:vAlign w:val="bottom"/>
            <w:gridSpan w:val="5"/>
          </w:tcPr>
          <w:p>
            <w:pPr>
              <w:jc w:val="right"/>
              <w:ind w:right="240"/>
              <w:spacing w:after="0"/>
              <w:rPr>
                <w:sz w:val="20"/>
                <w:szCs w:val="20"/>
                <w:color w:val="auto"/>
              </w:rPr>
            </w:pPr>
            <w:r>
              <w:rPr>
                <w:rFonts w:ascii="Arial" w:cs="Arial" w:eastAsia="Arial" w:hAnsi="Arial"/>
                <w:sz w:val="18"/>
                <w:szCs w:val="18"/>
                <w:color w:val="auto"/>
              </w:rPr>
              <w:t>604,581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86,843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(338,249)</w:t>
            </w:r>
          </w:p>
        </w:tc>
        <w:tc>
          <w:tcPr>
            <w:tcW w:w="1380" w:type="dxa"/>
            <w:vAlign w:val="bottom"/>
            <w:tcBorders>
              <w:right w:val="single" w:sz="8" w:color="CCEEFF"/>
            </w:tcBorders>
            <w:gridSpan w:val="7"/>
            <w:shd w:val="clear" w:color="auto" w:fill="CCEEFF"/>
          </w:tcPr>
          <w:p>
            <w:pPr>
              <w:jc w:val="right"/>
              <w:ind w:right="144"/>
              <w:spacing w:after="0"/>
              <w:rPr>
                <w:sz w:val="20"/>
                <w:szCs w:val="20"/>
                <w:color w:val="auto"/>
              </w:rPr>
            </w:pPr>
            <w:r>
              <w:rPr>
                <w:rFonts w:ascii="Arial" w:cs="Arial" w:eastAsia="Arial" w:hAnsi="Arial"/>
                <w:sz w:val="18"/>
                <w:szCs w:val="18"/>
                <w:b w:val="1"/>
                <w:bCs w:val="1"/>
                <w:color w:val="auto"/>
              </w:rPr>
              <w:t>(520,132)</w:t>
            </w:r>
          </w:p>
        </w:tc>
        <w:tc>
          <w:tcPr>
            <w:tcW w:w="2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(417,674)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(59,994)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86"/>
        </w:trPr>
        <w:tc>
          <w:tcPr>
            <w:tcW w:w="4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15"/>
          </w:tcPr>
          <w:p>
            <w:pPr>
              <w:jc w:val="right"/>
              <w:ind w:right="400"/>
              <w:spacing w:after="0"/>
              <w:rPr>
                <w:sz w:val="20"/>
                <w:szCs w:val="20"/>
                <w:color w:val="auto"/>
              </w:rPr>
            </w:pPr>
            <w:r>
              <w:rPr>
                <w:rFonts w:ascii="Arial" w:cs="Arial" w:eastAsia="Arial" w:hAnsi="Arial"/>
                <w:sz w:val="14"/>
                <w:szCs w:val="14"/>
                <w:b w:val="1"/>
                <w:bCs w:val="1"/>
                <w:color w:val="auto"/>
                <w:w w:val="90"/>
              </w:rPr>
              <w:t>For the Year Ended December 31,</w:t>
            </w: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99"/>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margin</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(57.8)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(28.1)</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Adjusted net loss margin</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Arial" w:cs="Arial" w:eastAsia="Arial" w:hAnsi="Arial"/>
                <w:sz w:val="18"/>
                <w:szCs w:val="18"/>
                <w:b w:val="1"/>
                <w:bCs w:val="1"/>
                <w:color w:val="auto"/>
              </w:rPr>
              <w:t>(52.9)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(24.2)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(27.4)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w:t>
            </w:r>
          </w:p>
        </w:tc>
      </w:tr>
      <w:tr>
        <w:trPr>
          <w:trHeight w:val="365"/>
        </w:trPr>
        <w:tc>
          <w:tcPr>
            <w:tcW w:w="4940" w:type="dxa"/>
            <w:vAlign w:val="bottom"/>
          </w:tcPr>
          <w:p>
            <w:pPr>
              <w:spacing w:after="0"/>
              <w:rPr>
                <w:sz w:val="24"/>
                <w:szCs w:val="24"/>
                <w:color w:val="auto"/>
              </w:rPr>
            </w:pPr>
          </w:p>
        </w:tc>
        <w:tc>
          <w:tcPr>
            <w:tcW w:w="1660" w:type="dxa"/>
            <w:vAlign w:val="bottom"/>
          </w:tcPr>
          <w:p>
            <w:pPr>
              <w:jc w:val="right"/>
              <w:ind w:right="870"/>
              <w:spacing w:after="0"/>
              <w:rPr>
                <w:sz w:val="20"/>
                <w:szCs w:val="20"/>
                <w:color w:val="auto"/>
              </w:rPr>
            </w:pPr>
            <w:r>
              <w:rPr>
                <w:rFonts w:ascii="Arial" w:cs="Arial" w:eastAsia="Arial" w:hAnsi="Arial"/>
                <w:sz w:val="18"/>
                <w:szCs w:val="18"/>
                <w:color w:val="auto"/>
              </w:rPr>
              <w:t>109</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following tables reconcile our adjusted gross (loss)/profit, adjusted net loss and adjusted EBITDA derived from our unaudited consolidated quarterly results of operations for the periods indicated to the most directly comparable financial measure calculated and presented in accordance with U.S. GAAP, which are gross (loss)/profit and net loss: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5"/>
          </w:tcPr>
          <w:p>
            <w:pPr>
              <w:jc w:val="center"/>
              <w:ind w:right="148"/>
              <w:spacing w:after="0" w:line="119" w:lineRule="exact"/>
              <w:rPr>
                <w:sz w:val="20"/>
                <w:szCs w:val="20"/>
                <w:color w:val="auto"/>
              </w:rPr>
            </w:pPr>
            <w:r>
              <w:rPr>
                <w:rFonts w:ascii="Arial" w:cs="Arial" w:eastAsia="Arial" w:hAnsi="Arial"/>
                <w:sz w:val="13"/>
                <w:szCs w:val="13"/>
                <w:b w:val="1"/>
                <w:bCs w:val="1"/>
                <w:color w:val="auto"/>
              </w:rPr>
              <w:t>March 31,</w:t>
            </w: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6"/>
          </w:tcPr>
          <w:p>
            <w:pPr>
              <w:jc w:val="right"/>
              <w:ind w:right="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40" w:type="dxa"/>
            <w:vAlign w:val="bottom"/>
          </w:tcPr>
          <w:p>
            <w:pPr>
              <w:spacing w:after="0"/>
              <w:rPr>
                <w:sz w:val="10"/>
                <w:szCs w:val="10"/>
                <w:color w:val="auto"/>
              </w:rPr>
            </w:pPr>
          </w:p>
        </w:tc>
        <w:tc>
          <w:tcPr>
            <w:tcW w:w="90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700" w:type="dxa"/>
            <w:vAlign w:val="bottom"/>
            <w:gridSpan w:val="5"/>
          </w:tcPr>
          <w:p>
            <w:pPr>
              <w:jc w:val="center"/>
              <w:ind w:right="8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74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98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160" w:type="dxa"/>
            <w:vAlign w:val="bottom"/>
            <w:gridSpan w:val="5"/>
          </w:tcPr>
          <w:p>
            <w:pPr>
              <w:jc w:val="center"/>
              <w:ind w:left="67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4"/>
                <w:szCs w:val="14"/>
                <w:color w:val="auto"/>
              </w:rPr>
            </w:pPr>
          </w:p>
        </w:tc>
        <w:tc>
          <w:tcPr>
            <w:tcW w:w="78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8"/>
          </w:tcPr>
          <w:p>
            <w:pPr>
              <w:jc w:val="right"/>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1500" w:type="dxa"/>
            <w:vAlign w:val="bottom"/>
            <w:gridSpan w:val="7"/>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(45,294)</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(33,029)</w:t>
            </w:r>
          </w:p>
        </w:tc>
        <w:tc>
          <w:tcPr>
            <w:tcW w:w="1040" w:type="dxa"/>
            <w:vAlign w:val="bottom"/>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(59,876)</w:t>
            </w: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(62,191)</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(45,073)</w:t>
            </w:r>
          </w:p>
        </w:tc>
        <w:tc>
          <w:tcPr>
            <w:tcW w:w="8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(20,285)</w:t>
            </w: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18,744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54,323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60" w:type="dxa"/>
            <w:vAlign w:val="bottom"/>
            <w:tcBorders>
              <w:right w:val="single" w:sz="8" w:color="CCEEFF"/>
            </w:tcBorders>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Share-based compensation (allocated in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1500" w:type="dxa"/>
            <w:vAlign w:val="bottom"/>
            <w:gridSpan w:val="7"/>
            <w:shd w:val="clear" w:color="auto" w:fill="CCEEFF"/>
          </w:tcPr>
          <w:p>
            <w:pPr>
              <w:jc w:val="right"/>
              <w:ind w:right="148"/>
              <w:spacing w:after="0"/>
              <w:rPr>
                <w:sz w:val="20"/>
                <w:szCs w:val="20"/>
                <w:color w:val="auto"/>
              </w:rPr>
            </w:pPr>
            <w:r>
              <w:rPr>
                <w:rFonts w:ascii="Arial" w:cs="Arial" w:eastAsia="Arial" w:hAnsi="Arial"/>
                <w:sz w:val="18"/>
                <w:szCs w:val="18"/>
                <w:color w:val="auto"/>
              </w:rPr>
              <w:t>1,048</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040" w:type="dxa"/>
            <w:vAlign w:val="bottom"/>
            <w:gridSpan w:val="7"/>
            <w:shd w:val="clear" w:color="auto" w:fill="CCEEFF"/>
          </w:tcPr>
          <w:p>
            <w:pPr>
              <w:jc w:val="right"/>
              <w:ind w:right="8"/>
              <w:spacing w:after="0"/>
              <w:rPr>
                <w:sz w:val="20"/>
                <w:szCs w:val="20"/>
                <w:color w:val="auto"/>
              </w:rPr>
            </w:pPr>
            <w:r>
              <w:rPr>
                <w:rFonts w:ascii="Arial" w:cs="Arial" w:eastAsia="Arial" w:hAnsi="Arial"/>
                <w:sz w:val="18"/>
                <w:szCs w:val="18"/>
                <w:color w:val="auto"/>
              </w:rPr>
              <w:t>1,028</w:t>
            </w:r>
          </w:p>
        </w:tc>
        <w:tc>
          <w:tcPr>
            <w:tcW w:w="10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3,824</w:t>
            </w: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Adjusted gross (loss)/profit</w:t>
            </w:r>
          </w:p>
        </w:tc>
        <w:tc>
          <w:tcPr>
            <w:tcW w:w="640" w:type="dxa"/>
            <w:vAlign w:val="bottom"/>
            <w:gridSpan w:val="2"/>
          </w:tcPr>
          <w:p>
            <w:pPr>
              <w:spacing w:after="0"/>
              <w:rPr>
                <w:sz w:val="18"/>
                <w:szCs w:val="18"/>
                <w:color w:val="auto"/>
              </w:rPr>
            </w:pPr>
          </w:p>
        </w:tc>
        <w:tc>
          <w:tcPr>
            <w:tcW w:w="860" w:type="dxa"/>
            <w:vAlign w:val="bottom"/>
            <w:gridSpan w:val="5"/>
          </w:tcPr>
          <w:p>
            <w:pPr>
              <w:jc w:val="right"/>
              <w:ind w:right="88"/>
              <w:spacing w:after="0"/>
              <w:rPr>
                <w:sz w:val="20"/>
                <w:szCs w:val="20"/>
                <w:color w:val="auto"/>
              </w:rPr>
            </w:pPr>
            <w:r>
              <w:rPr>
                <w:rFonts w:ascii="Arial" w:cs="Arial" w:eastAsia="Arial" w:hAnsi="Arial"/>
                <w:sz w:val="18"/>
                <w:szCs w:val="18"/>
                <w:b w:val="1"/>
                <w:bCs w:val="1"/>
                <w:color w:val="auto"/>
              </w:rPr>
              <w:t>(44,246)</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8"/>
              </w:rPr>
              <w:t>(32,201)</w:t>
            </w:r>
          </w:p>
        </w:tc>
        <w:tc>
          <w:tcPr>
            <w:tcW w:w="1040" w:type="dxa"/>
            <w:vAlign w:val="bottom"/>
            <w:gridSpan w:val="7"/>
          </w:tcPr>
          <w:p>
            <w:pPr>
              <w:jc w:val="right"/>
              <w:spacing w:after="0"/>
              <w:rPr>
                <w:sz w:val="20"/>
                <w:szCs w:val="20"/>
                <w:color w:val="auto"/>
              </w:rPr>
            </w:pPr>
            <w:r>
              <w:rPr>
                <w:rFonts w:ascii="Arial" w:cs="Arial" w:eastAsia="Arial" w:hAnsi="Arial"/>
                <w:sz w:val="18"/>
                <w:szCs w:val="18"/>
                <w:b w:val="1"/>
                <w:bCs w:val="1"/>
                <w:color w:val="auto"/>
              </w:rPr>
              <w:t>(58,848)</w:t>
            </w:r>
          </w:p>
        </w:tc>
        <w:tc>
          <w:tcPr>
            <w:tcW w:w="1040" w:type="dxa"/>
            <w:vAlign w:val="bottom"/>
            <w:gridSpan w:val="4"/>
          </w:tcPr>
          <w:p>
            <w:pPr>
              <w:jc w:val="right"/>
              <w:spacing w:after="0"/>
              <w:rPr>
                <w:sz w:val="20"/>
                <w:szCs w:val="20"/>
                <w:color w:val="auto"/>
              </w:rPr>
            </w:pPr>
            <w:r>
              <w:rPr>
                <w:rFonts w:ascii="Arial" w:cs="Arial" w:eastAsia="Arial" w:hAnsi="Arial"/>
                <w:sz w:val="18"/>
                <w:szCs w:val="18"/>
                <w:b w:val="1"/>
                <w:bCs w:val="1"/>
                <w:color w:val="auto"/>
              </w:rPr>
              <w:t>(61,530)</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(44,613)</w:t>
            </w:r>
          </w:p>
        </w:tc>
        <w:tc>
          <w:tcPr>
            <w:tcW w:w="8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(16,461)</w:t>
            </w:r>
          </w:p>
        </w:tc>
        <w:tc>
          <w:tcPr>
            <w:tcW w:w="10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20,561</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56,731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2"/>
          </w:tcPr>
          <w:p>
            <w:pPr>
              <w:jc w:val="right"/>
              <w:ind w:right="300"/>
              <w:spacing w:after="0"/>
              <w:rPr>
                <w:sz w:val="20"/>
                <w:szCs w:val="20"/>
                <w:color w:val="auto"/>
              </w:rPr>
            </w:pPr>
            <w:r>
              <w:rPr>
                <w:rFonts w:ascii="Arial" w:cs="Arial" w:eastAsia="Arial" w:hAnsi="Arial"/>
                <w:sz w:val="14"/>
                <w:szCs w:val="14"/>
                <w:b w:val="1"/>
                <w:bCs w:val="1"/>
                <w:color w:val="auto"/>
                <w:w w:val="91"/>
              </w:rPr>
              <w:t>For the three months ended</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040" w:type="dxa"/>
            <w:vAlign w:val="bottom"/>
            <w:gridSpan w:val="4"/>
          </w:tcPr>
          <w:p>
            <w:pPr>
              <w:jc w:val="center"/>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4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84"/>
              </w:rPr>
              <w:t>June 30,</w:t>
            </w:r>
          </w:p>
        </w:tc>
        <w:tc>
          <w:tcPr>
            <w:tcW w:w="360" w:type="dxa"/>
            <w:vAlign w:val="bottom"/>
          </w:tcPr>
          <w:p>
            <w:pPr>
              <w:spacing w:after="0"/>
              <w:rPr>
                <w:sz w:val="10"/>
                <w:szCs w:val="10"/>
                <w:color w:val="auto"/>
              </w:rPr>
            </w:pPr>
          </w:p>
        </w:tc>
        <w:tc>
          <w:tcPr>
            <w:tcW w:w="1180" w:type="dxa"/>
            <w:vAlign w:val="bottom"/>
            <w:gridSpan w:val="7"/>
          </w:tcPr>
          <w:p>
            <w:pPr>
              <w:jc w:val="center"/>
              <w:ind w:right="34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1280" w:type="dxa"/>
            <w:vAlign w:val="bottom"/>
            <w:gridSpan w:val="7"/>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60" w:type="dxa"/>
            <w:vAlign w:val="bottom"/>
            <w:gridSpan w:val="6"/>
          </w:tcPr>
          <w:p>
            <w:pPr>
              <w:jc w:val="center"/>
              <w:ind w:right="340"/>
              <w:spacing w:after="0" w:line="119" w:lineRule="exact"/>
              <w:rPr>
                <w:sz w:val="20"/>
                <w:szCs w:val="20"/>
                <w:color w:val="auto"/>
              </w:rPr>
            </w:pPr>
            <w:r>
              <w:rPr>
                <w:rFonts w:ascii="Arial" w:cs="Arial" w:eastAsia="Arial" w:hAnsi="Arial"/>
                <w:sz w:val="13"/>
                <w:szCs w:val="13"/>
                <w:b w:val="1"/>
                <w:bCs w:val="1"/>
                <w:color w:val="auto"/>
                <w:w w:val="86"/>
              </w:rPr>
              <w:t>March 31,</w:t>
            </w:r>
          </w:p>
        </w:tc>
        <w:tc>
          <w:tcPr>
            <w:tcW w:w="880" w:type="dxa"/>
            <w:vAlign w:val="bottom"/>
            <w:gridSpan w:val="5"/>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June 30,</w:t>
            </w:r>
          </w:p>
        </w:tc>
        <w:tc>
          <w:tcPr>
            <w:tcW w:w="108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4"/>
          </w:tcPr>
          <w:p>
            <w:pPr>
              <w:jc w:val="center"/>
              <w:ind w:right="165"/>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6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jc w:val="center"/>
              <w:ind w:right="2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center"/>
              <w:ind w:right="8"/>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4"/>
          </w:tcPr>
          <w:p>
            <w:pPr>
              <w:jc w:val="center"/>
              <w:ind w:right="165"/>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right="165"/>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center"/>
              <w:ind w:right="44"/>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43"/>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(7.2)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center"/>
              <w:ind w:left="156"/>
              <w:spacing w:after="0"/>
              <w:rPr>
                <w:sz w:val="20"/>
                <w:szCs w:val="20"/>
                <w:color w:val="auto"/>
              </w:rPr>
            </w:pPr>
            <w:r>
              <w:rPr>
                <w:rFonts w:ascii="Arial" w:cs="Arial" w:eastAsia="Arial" w:hAnsi="Arial"/>
                <w:sz w:val="18"/>
                <w:szCs w:val="18"/>
                <w:b w:val="1"/>
                <w:bCs w:val="1"/>
                <w:color w:val="auto"/>
                <w:w w:val="97"/>
              </w:rPr>
              <w:t>(5.3)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Adjusted gross margin</w:t>
            </w: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920" w:type="dxa"/>
            <w:vAlign w:val="bottom"/>
            <w:vMerge w:val="continue"/>
          </w:tcPr>
          <w:p>
            <w:pPr>
              <w:spacing w:after="0"/>
              <w:rPr>
                <w:sz w:val="19"/>
                <w:szCs w:val="19"/>
                <w:color w:val="auto"/>
              </w:rPr>
            </w:pPr>
          </w:p>
        </w:tc>
        <w:tc>
          <w:tcPr>
            <w:tcW w:w="940" w:type="dxa"/>
            <w:vAlign w:val="bottom"/>
            <w:gridSpan w:val="3"/>
          </w:tcPr>
          <w:p>
            <w:pPr>
              <w:ind w:left="26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820" w:type="dxa"/>
            <w:vAlign w:val="bottom"/>
            <w:gridSpan w:val="4"/>
          </w:tcPr>
          <w:p>
            <w:pPr>
              <w:jc w:val="right"/>
              <w:ind w:right="218"/>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(8.5)</w:t>
            </w:r>
          </w:p>
        </w:tc>
        <w:tc>
          <w:tcPr>
            <w:tcW w:w="320" w:type="dxa"/>
            <w:vAlign w:val="bottom"/>
          </w:tcPr>
          <w:p>
            <w:pPr>
              <w:spacing w:after="0"/>
              <w:rPr>
                <w:sz w:val="19"/>
                <w:szCs w:val="19"/>
                <w:color w:val="auto"/>
              </w:rPr>
            </w:pPr>
          </w:p>
        </w:tc>
        <w:tc>
          <w:tcPr>
            <w:tcW w:w="600" w:type="dxa"/>
            <w:vAlign w:val="bottom"/>
            <w:gridSpan w:val="3"/>
          </w:tcPr>
          <w:p>
            <w:pPr>
              <w:jc w:val="center"/>
              <w:ind w:left="156"/>
              <w:spacing w:after="0"/>
              <w:rPr>
                <w:sz w:val="20"/>
                <w:szCs w:val="20"/>
                <w:color w:val="auto"/>
              </w:rPr>
            </w:pPr>
            <w:r>
              <w:rPr>
                <w:rFonts w:ascii="Arial" w:cs="Arial" w:eastAsia="Arial" w:hAnsi="Arial"/>
                <w:sz w:val="18"/>
                <w:szCs w:val="18"/>
                <w:b w:val="1"/>
                <w:bCs w:val="1"/>
                <w:color w:val="auto"/>
                <w:w w:val="97"/>
              </w:rPr>
              <w:t>(5.3)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jc w:val="right"/>
              <w:ind w:right="220"/>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920" w:type="dxa"/>
            <w:vAlign w:val="bottom"/>
            <w:gridSpan w:val="4"/>
          </w:tcPr>
          <w:p>
            <w:pPr>
              <w:jc w:val="center"/>
              <w:ind w:right="173"/>
              <w:spacing w:after="0" w:line="119" w:lineRule="exact"/>
              <w:rPr>
                <w:sz w:val="20"/>
                <w:szCs w:val="20"/>
                <w:color w:val="auto"/>
              </w:rPr>
            </w:pPr>
            <w:r>
              <w:rPr>
                <w:rFonts w:ascii="Arial" w:cs="Arial" w:eastAsia="Arial" w:hAnsi="Arial"/>
                <w:sz w:val="13"/>
                <w:szCs w:val="13"/>
                <w:b w:val="1"/>
                <w:bCs w:val="1"/>
                <w:color w:val="auto"/>
                <w:w w:val="99"/>
              </w:rPr>
              <w:t>June 30,</w:t>
            </w:r>
          </w:p>
        </w:tc>
        <w:tc>
          <w:tcPr>
            <w:tcW w:w="960" w:type="dxa"/>
            <w:vAlign w:val="bottom"/>
            <w:gridSpan w:val="6"/>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1160" w:type="dxa"/>
            <w:vAlign w:val="bottom"/>
            <w:gridSpan w:val="6"/>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6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w w:val="93"/>
              </w:rPr>
              <w:t>March 31,</w:t>
            </w:r>
          </w:p>
        </w:tc>
        <w:tc>
          <w:tcPr>
            <w:tcW w:w="88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June 30,</w:t>
            </w:r>
          </w:p>
        </w:tc>
        <w:tc>
          <w:tcPr>
            <w:tcW w:w="1080" w:type="dxa"/>
            <w:vAlign w:val="bottom"/>
            <w:gridSpan w:val="5"/>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940" w:type="dxa"/>
            <w:vAlign w:val="bottom"/>
            <w:gridSpan w:val="3"/>
          </w:tcPr>
          <w:p>
            <w:pPr>
              <w:jc w:val="right"/>
              <w:ind w:right="1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820" w:type="dxa"/>
            <w:vAlign w:val="bottom"/>
            <w:gridSpan w:val="4"/>
          </w:tcPr>
          <w:p>
            <w:pPr>
              <w:jc w:val="center"/>
              <w:ind w:left="15"/>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04"/>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center"/>
              <w:ind w:right="38"/>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center"/>
              <w:ind w:right="28"/>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gridSpan w:val="2"/>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gridSpan w:val="2"/>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23"/>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9"/>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(167,642)</w:t>
            </w:r>
          </w:p>
        </w:tc>
        <w:tc>
          <w:tcPr>
            <w:tcW w:w="1040" w:type="dxa"/>
            <w:vAlign w:val="bottom"/>
            <w:gridSpan w:val="5"/>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(238,498)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(308,939)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(291,363)</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3"/>
              </w:rPr>
              <w:t>(201,360)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(319,739)</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(350,592)</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(239,508)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0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13,439</w:t>
            </w:r>
          </w:p>
        </w:tc>
        <w:tc>
          <w:tcPr>
            <w:tcW w:w="1040" w:type="dxa"/>
            <w:vAlign w:val="bottom"/>
            <w:gridSpan w:val="5"/>
            <w:shd w:val="clear" w:color="auto" w:fill="CCEEFF"/>
          </w:tcPr>
          <w:p>
            <w:pPr>
              <w:jc w:val="right"/>
              <w:ind w:right="153"/>
              <w:spacing w:after="0"/>
              <w:rPr>
                <w:sz w:val="20"/>
                <w:szCs w:val="20"/>
                <w:color w:val="auto"/>
              </w:rPr>
            </w:pPr>
            <w:r>
              <w:rPr>
                <w:rFonts w:ascii="Arial" w:cs="Arial" w:eastAsia="Arial" w:hAnsi="Arial"/>
                <w:sz w:val="18"/>
                <w:szCs w:val="18"/>
                <w:color w:val="auto"/>
              </w:rPr>
              <w:t>3,796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13,656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16,050</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11,787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22,981</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Foreign exchange (gain)/loss</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(32,236)</w:t>
            </w:r>
          </w:p>
        </w:tc>
        <w:tc>
          <w:tcPr>
            <w:tcW w:w="1040" w:type="dxa"/>
            <w:vAlign w:val="bottom"/>
            <w:gridSpan w:val="5"/>
          </w:tcPr>
          <w:p>
            <w:pPr>
              <w:jc w:val="right"/>
              <w:ind w:right="153"/>
              <w:spacing w:after="0"/>
              <w:rPr>
                <w:sz w:val="20"/>
                <w:szCs w:val="20"/>
                <w:color w:val="auto"/>
              </w:rPr>
            </w:pPr>
            <w:r>
              <w:rPr>
                <w:rFonts w:ascii="Arial" w:cs="Arial" w:eastAsia="Arial" w:hAnsi="Arial"/>
                <w:sz w:val="18"/>
                <w:szCs w:val="18"/>
                <w:color w:val="auto"/>
              </w:rPr>
              <w:t>66,602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63,692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4,144</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(24,793)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38,625</w:t>
            </w:r>
          </w:p>
        </w:tc>
        <w:tc>
          <w:tcPr>
            <w:tcW w:w="1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81,882</w:t>
            </w: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(56,753)</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Changes in fair value of financial</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instruments</w:t>
            </w:r>
          </w:p>
        </w:tc>
        <w:tc>
          <w:tcPr>
            <w:tcW w:w="10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(3,889)</w:t>
            </w:r>
          </w:p>
        </w:tc>
        <w:tc>
          <w:tcPr>
            <w:tcW w:w="1040" w:type="dxa"/>
            <w:vAlign w:val="bottom"/>
            <w:gridSpan w:val="5"/>
            <w:shd w:val="clear" w:color="auto" w:fill="CCEEFF"/>
          </w:tcPr>
          <w:p>
            <w:pPr>
              <w:jc w:val="right"/>
              <w:ind w:right="93"/>
              <w:spacing w:after="0"/>
              <w:rPr>
                <w:sz w:val="20"/>
                <w:szCs w:val="20"/>
                <w:color w:val="auto"/>
              </w:rPr>
            </w:pPr>
            <w:r>
              <w:rPr>
                <w:rFonts w:ascii="Arial" w:cs="Arial" w:eastAsia="Arial" w:hAnsi="Arial"/>
                <w:sz w:val="18"/>
                <w:szCs w:val="18"/>
                <w:color w:val="auto"/>
              </w:rPr>
              <w:t>(2,515)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center"/>
              <w:ind w:left="10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Other (income)/expense, net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93"/>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8"/>
                <w:szCs w:val="18"/>
                <w:color w:val="auto"/>
              </w:rPr>
              <w:t>(771)</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(10,936)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loss</w:t>
            </w:r>
          </w:p>
        </w:tc>
        <w:tc>
          <w:tcPr>
            <w:tcW w:w="10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(190,243)</w:t>
            </w:r>
          </w:p>
        </w:tc>
        <w:tc>
          <w:tcPr>
            <w:tcW w:w="1040" w:type="dxa"/>
            <w:vAlign w:val="bottom"/>
            <w:gridSpan w:val="5"/>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(170,712)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(231,547)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(271,940)</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3"/>
              </w:rPr>
              <w:t>(225,302)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(235,766)</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(241,948)</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(254,555)</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(15,744)</w:t>
            </w:r>
          </w:p>
        </w:tc>
        <w:tc>
          <w:tcPr>
            <w:tcW w:w="1040" w:type="dxa"/>
            <w:vAlign w:val="bottom"/>
            <w:gridSpan w:val="5"/>
            <w:shd w:val="clear" w:color="auto" w:fill="CCEEFF"/>
          </w:tcPr>
          <w:p>
            <w:pPr>
              <w:jc w:val="right"/>
              <w:ind w:right="93"/>
              <w:spacing w:after="0"/>
              <w:rPr>
                <w:sz w:val="20"/>
                <w:szCs w:val="20"/>
                <w:color w:val="auto"/>
              </w:rPr>
            </w:pPr>
            <w:r>
              <w:rPr>
                <w:rFonts w:ascii="Arial" w:cs="Arial" w:eastAsia="Arial" w:hAnsi="Arial"/>
                <w:sz w:val="18"/>
                <w:szCs w:val="18"/>
                <w:color w:val="auto"/>
              </w:rPr>
              <w:t>(33,900)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(35,896)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(30,960)</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5"/>
              </w:rPr>
              <w:t>(25,986)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(23,699)</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(17,291)</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11,115</w:t>
            </w:r>
          </w:p>
        </w:tc>
        <w:tc>
          <w:tcPr>
            <w:tcW w:w="1040" w:type="dxa"/>
            <w:vAlign w:val="bottom"/>
            <w:gridSpan w:val="5"/>
          </w:tcPr>
          <w:p>
            <w:pPr>
              <w:jc w:val="right"/>
              <w:ind w:right="153"/>
              <w:spacing w:after="0"/>
              <w:rPr>
                <w:sz w:val="20"/>
                <w:szCs w:val="20"/>
                <w:color w:val="auto"/>
              </w:rPr>
            </w:pPr>
            <w:r>
              <w:rPr>
                <w:rFonts w:ascii="Arial" w:cs="Arial" w:eastAsia="Arial" w:hAnsi="Arial"/>
                <w:sz w:val="18"/>
                <w:szCs w:val="18"/>
                <w:color w:val="auto"/>
              </w:rPr>
              <w:t>10,363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9,194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8,154</w:t>
            </w: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2,900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1040" w:type="dxa"/>
            <w:vAlign w:val="bottom"/>
            <w:gridSpan w:val="5"/>
            <w:shd w:val="clear" w:color="auto" w:fill="CCEEFF"/>
          </w:tcPr>
          <w:p>
            <w:pPr>
              <w:jc w:val="right"/>
              <w:ind w:right="153"/>
              <w:spacing w:after="0"/>
              <w:rPr>
                <w:sz w:val="20"/>
                <w:szCs w:val="20"/>
                <w:color w:val="auto"/>
              </w:rPr>
            </w:pPr>
            <w:r>
              <w:rPr>
                <w:rFonts w:ascii="Arial" w:cs="Arial" w:eastAsia="Arial" w:hAnsi="Arial"/>
                <w:sz w:val="18"/>
                <w:szCs w:val="18"/>
                <w:color w:val="auto"/>
              </w:rPr>
              <w:t>2,199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2,939</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77,162</w:t>
            </w:r>
          </w:p>
        </w:tc>
        <w:tc>
          <w:tcPr>
            <w:tcW w:w="1040" w:type="dxa"/>
            <w:vAlign w:val="bottom"/>
            <w:gridSpan w:val="5"/>
          </w:tcPr>
          <w:p>
            <w:pPr>
              <w:jc w:val="right"/>
              <w:ind w:right="153"/>
              <w:spacing w:after="0"/>
              <w:rPr>
                <w:sz w:val="20"/>
                <w:szCs w:val="20"/>
                <w:color w:val="auto"/>
              </w:rPr>
            </w:pPr>
            <w:r>
              <w:rPr>
                <w:rFonts w:ascii="Arial" w:cs="Arial" w:eastAsia="Arial" w:hAnsi="Arial"/>
                <w:sz w:val="18"/>
                <w:szCs w:val="18"/>
                <w:color w:val="auto"/>
              </w:rPr>
              <w:t>89,967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113,604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131,619</w:t>
            </w: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w w:val="89"/>
              </w:rPr>
              <w:t>136,802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137,995</w:t>
            </w:r>
          </w:p>
        </w:tc>
        <w:tc>
          <w:tcPr>
            <w:tcW w:w="1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154,919</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(115,839)</w:t>
            </w:r>
          </w:p>
        </w:tc>
        <w:tc>
          <w:tcPr>
            <w:tcW w:w="1040" w:type="dxa"/>
            <w:vAlign w:val="bottom"/>
            <w:gridSpan w:val="5"/>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(102,083)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(142,022)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(160,188)</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3"/>
              </w:rPr>
              <w:t>(108,796)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(117,553)</w:t>
            </w:r>
          </w:p>
        </w:tc>
        <w:tc>
          <w:tcPr>
            <w:tcW w:w="12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(102,009)</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(89,316)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For the three months ended</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200" w:type="dxa"/>
            <w:vAlign w:val="bottom"/>
          </w:tcPr>
          <w:p>
            <w:pPr>
              <w:spacing w:after="0"/>
              <w:rPr>
                <w:sz w:val="10"/>
                <w:szCs w:val="10"/>
                <w:color w:val="auto"/>
              </w:rPr>
            </w:pPr>
          </w:p>
        </w:tc>
        <w:tc>
          <w:tcPr>
            <w:tcW w:w="9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June 30,</w:t>
            </w: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9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June 30,</w:t>
            </w:r>
          </w:p>
        </w:tc>
        <w:tc>
          <w:tcPr>
            <w:tcW w:w="11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r>
      <w:tr>
        <w:trPr>
          <w:trHeight w:val="171"/>
        </w:trPr>
        <w:tc>
          <w:tcPr>
            <w:tcW w:w="3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84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margin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(20.4)</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Adjusted net loss margin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(43.7)</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(38.6)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(26.6)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(21.7)</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(26.6)</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sources of liquidity primarily consist of net proceeds from redeemable convertible preferred shares. For details of the redeemable convertible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shares, see “Description of Share Capital—History of Securities Issuances.” As of December 31, 2017, 2018 and 2019, we had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RMB573.4 million, RMB1,507.1 million and RMB2,023.3 million (US$290.6 million), respectively, in cash and cash equivalents. As of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substantially all of our cash and cash equivalents were located in the PRC and Hong Kong. Our cash and cash equivalents consist of cash on hand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time deposits placed with banks which are unrestricted as to withdrawal or use and have original maturities of less than three months. We believe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that our cash and cash equivalents, short-term investment and anticipated cash flow from operations will be sufficient to meet our anticipated cash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needs, including our cash needs for working capital and capital expenditures, for at least the next 12 months.</w:t>
      </w:r>
    </w:p>
    <w:p>
      <w:pPr>
        <w:spacing w:after="0" w:line="211"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As of December 31, 2018 and 2019, we had accumulated deficits amounting to RMB3,790.9 million and RMB4,902.1 million (US$704.1 million), respectively, net current assets of RMB3,297.5 million and RMB1,729.7 million (US$248.5 million), respectively, and cash and cash equivalents of RMB1,507.1 million and RMB2,023.3 million (US$290.6 million), respectively. For the year ended December 31, 2018 and 2019, we incurred net loss of RMB1,006.4 million and RMB1,111.2 million (US$159.6 million), respectively, and net cash used in operations of RMB383.1 million and RMB439.1 million (US$63.1 million), respectively.</w:t>
      </w:r>
    </w:p>
    <w:p>
      <w:pPr>
        <w:spacing w:after="0" w:line="18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intend to finance our future working capital requirements and capital expenditures from cash generated from operating activities, funds raised from financing activities, including the net proceeds we will receive from this offering.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additional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See “Risk Factors—Risks Relating to Our Business and Industry —We require a significant amount of capital to fund our operations and respond to business opportunities. If we cannot obtain sufficient capital on acceptable terms, or at all, our business, financial condition and results of operations may be materially and adversely affected.”</w:t>
      </w:r>
    </w:p>
    <w:p>
      <w:pPr>
        <w:spacing w:after="0" w:line="16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As a holding company with no material operations of our own, we conduct a substantial majority of our operations through our PRC subsidiaries and our VIEs in China. We are permitted under PRC laws and regulations to provide funding to our PRC subsidiaries in China through capital contributions or loans, subject to the approval of government authorities and limits on the amount of capital contributions and loans. In addition, our subsidiaries in China may provide Renminbi funding to our VIEs only through entrusted loans. See “Regulation—Regulation Related to Foreign Exchange,” “Risk Factors—Risks Related to Doing Business in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China—PRC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 and “Use of Proceeds.” The ability of our subsidiaries in China to make dividends or other cash payments to us is subject to various restrictions under PRC laws and regulations. See “Risk Factors—Risks Relating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“Risk Factors—Risks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selected consolidated cash flow data for the years ended December 31, 2017, 2018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4"/>
              </w:rPr>
              <w:t>For the Year Ended December 31,</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94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08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(134,527)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(383,110)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(439,132)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(63,074)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cash (used in)/generated from investing activities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(1,820,636)</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(1,173,559)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883,247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126,870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1,861,177</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2,435,832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9,266</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879,163</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508,622</w:t>
            </w: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73,062</w:t>
            </w:r>
          </w:p>
        </w:tc>
        <w:tc>
          <w:tcPr>
            <w:tcW w:w="14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706,012</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573,437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1,507,071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216,477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(38,589)</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54,471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7,570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r>
      <w:tr>
        <w:trPr>
          <w:trHeight w:val="27"/>
        </w:trPr>
        <w:tc>
          <w:tcPr>
            <w:tcW w:w="6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2,023,263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290,624</w:t>
            </w:r>
          </w:p>
        </w:tc>
      </w:tr>
      <w:tr>
        <w:trPr>
          <w:trHeight w:val="20"/>
        </w:trPr>
        <w:tc>
          <w:tcPr>
            <w:tcW w:w="6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operating activities was RMB439.1 million (US$63.1 million) in 2019. The difference between our net loss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RMB1,111.2 million (US$159.6 million) and the net cash used in operating activities was mainly due to (i) depreciation and amortization of RMB604.6</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million (US$86.8 million) primarily attributable to our increased investment in property and equipment, (ii) an increase in accounts payable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RMB533.8 million (US$76.7 million) which was in line with our increased IDC costs, and (iii) share-based compensation of RMB121.3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(US$17.4 million) to our employees, partially offset by an increase in accounts receivable of RMB823.0 million (US$118.2 million) primarily due to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overall business growth.</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Net cash used in operating activities was RMB383.1 million in 2018. The difference between our net loss of RMB1,006.4 million and the net cash used in operating activities was mainly due to (i) depreciation and amortization of RMB412.4 million primarily attributable to our increased investment in property and equipment, (ii) an increase in accounts payable of RMB260.1 million which was in line with our increased IDC costs, (iii) foreign exchange loss of RMB102.2 million as a result of the fluctuations of exchange rates of Renminbi against U.S. dollars and, (iv) an decrease in accrued expenses and other liabilities of RMB133.0 million in relation to procurement of property and equipment and accrued staff compensation, partially offset by (i) an increase in accounts receivable of RMB46.7 million primarily due to our overall business growth, and (ii) an increase in prepayment and other assets of RMB25.2 million.</w:t>
      </w:r>
    </w:p>
    <w:p>
      <w:pPr>
        <w:spacing w:after="0" w:line="19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Net cash used in operating activities was RMB134.5 million in 2017. The difference between our net loss of RMB714.3 million and the net cash used in operating activities was mainly due to (i) depreciation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amortization of RMB297.6 million primarily due to our increased investment in property and equipment, (ii) an increase in accounts payable of RMB285.7 million which was in line with our increased IDC costs, and (iii) an increase in accrued expenses and other liabilities of RMB330.1 million in relation to procurement of property and equipment and accrued staff compensation, partially offset by (i) an increase in accounts receivable of RMB221.6 million primarily due to our overall business growth, and (ii) an increase in amounts due from related parties of RMB154.8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Net cash generated from investing activities in 2019 was RMB883.2 million (US$126.9 million), which was mainly attributable to the proceeds from maturities of short-term investments of RMB3,107.6 million (US$446.4 million), partially offset by (i) purchases of short-term investments of RMB1,112.0 million (US$159.7 million), and (ii) the purchase of property and equipment of RMB999.5 million (US$143.6 million).</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Net cash used in investing activities in 2018 was RMB1,173.6 million, which was mainly attributable to (i) purchases of short-term investments of RMB2,866.8 million and, (ii) the purchase of property and equipment of RMB1,094.6 million, partially offset by the proceeds from maturities of short-term investments of RMB2,784.4 million.</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Net cash used in investing activities in 2017 was RMB1,820.6 million, which was primarily attributable to (i) purchases of short-term investments of RMB1,901.9 million, and (ii) the purchase of property and equipment of RMB346.1 million, partially offset by the proceeds from maturities of short-term investments of RMB398.6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Net cash generated from financing activities in 2019 was RMB64.5 million (US$9.3 million), which was mainly attributable to the proceeds from redeemable convertible preferred shares, net of issuance costs, of RMB349.4 million (US$50.2 million), partially offset by (i) the repayment of loan due to Kingsoft Group of RMB225.0 million (US$32.3 million), and (ii) the repayment of a long-term bank loan of RMB80.8 million (US$11.6 million).</w:t>
      </w:r>
    </w:p>
    <w:p>
      <w:pPr>
        <w:spacing w:after="0" w:line="149"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Net cash provided by financing activities in 2018 was RMB2,435.8 million, which was mainly attributable to the proceeds from redeemable convertible preferred shares, net of issuance costs of RMB2,851.9 million, partially offset by (i) repayment of loan due to a related party RMB329.5 million, and (ii) repayment of long-term bank loan of RMB80.0 million.</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Net cash provided by financing activities in 2017 was RMB1,861.2 million, which was mainly attributable to (i) the proceeds from redeemable convertible preferred shares, net of issuance costs of RMB1,723.0 million, and (ii) proceeds from loan due to a related party of RMB145.0 million, partially offset by repayment of loan due to a related party of RMB65.0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7"/>
          <w:szCs w:val="17"/>
          <w:color w:val="auto"/>
        </w:rPr>
        <w:t>Our capital expenditures are incurred primarily in connection with purchases of property and equipment and intangible assets. Our capital expenditures were RMB351.0 million, RMB1,096.2 million and RMB999.7 million (US$143.6 million), respectively, in 2017, 2018 and 2019, respectively. Our purchases of property and equipment was RMB346.1 million, RMB1,094.6 million and RMB999.5 million (US$143.6 million), respectively, in 2017, 2018 and 2019, accounting for 98.6%, 99.9% and 100.0% of our capital expenditures, respectively, for the same periods. Our capital expenditure commitments as of December 31, 2019 were RMB21.6 million (US$3.1 million), which were primarily relating to capital expenditures for the construction of a data center scheduled to be paid within one year. We intend to fund our future capital expenditures with our existing cash balance, cash generated from operating activities and net proceeds from this offering. We will continue to make capital expenditures to meet the expected growth of our business.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contractual obligations and commitments as of December 31,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Payments Due by Years Ending</w:t>
            </w:r>
          </w:p>
        </w:tc>
        <w:tc>
          <w:tcPr>
            <w:tcW w:w="1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9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Less than 1 year</w:t>
            </w:r>
          </w:p>
        </w:tc>
        <w:tc>
          <w:tcPr>
            <w:tcW w:w="12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1-3 years</w:t>
            </w: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More than 3 years</w:t>
            </w:r>
          </w:p>
        </w:tc>
        <w:tc>
          <w:tcPr>
            <w:tcW w:w="4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gridSpan w:val="2"/>
          </w:tcPr>
          <w:p>
            <w:pPr>
              <w:jc w:val="right"/>
              <w:ind w:right="456"/>
              <w:spacing w:after="0" w:line="142" w:lineRule="exact"/>
              <w:rPr>
                <w:sz w:val="20"/>
                <w:szCs w:val="20"/>
                <w:color w:val="auto"/>
              </w:rPr>
            </w:pPr>
            <w:r>
              <w:rPr>
                <w:rFonts w:ascii="Arial" w:cs="Arial" w:eastAsia="Arial" w:hAnsi="Arial"/>
                <w:sz w:val="14"/>
                <w:szCs w:val="14"/>
                <w:b w:val="1"/>
                <w:bCs w:val="1"/>
                <w:color w:val="auto"/>
              </w:rPr>
              <w:t>(in RMB thousands)</w:t>
            </w: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w:t>
            </w:r>
            <w:r>
              <w:rPr>
                <w:rFonts w:ascii="Arial" w:cs="Arial" w:eastAsia="Arial" w:hAnsi="Arial"/>
                <w:sz w:val="15"/>
                <w:szCs w:val="15"/>
                <w:color w:val="auto"/>
              </w:rPr>
              <w:t>(1)</w:t>
            </w:r>
          </w:p>
        </w:tc>
        <w:tc>
          <w:tcPr>
            <w:tcW w:w="9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8"/>
              </w:rPr>
              <w:t>410,789</w:t>
            </w:r>
          </w:p>
        </w:tc>
        <w:tc>
          <w:tcPr>
            <w:tcW w:w="15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51,468</w:t>
            </w:r>
          </w:p>
        </w:tc>
        <w:tc>
          <w:tcPr>
            <w:tcW w:w="12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163,853</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195,468</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Long-term loans</w:t>
            </w:r>
            <w:r>
              <w:rPr>
                <w:rFonts w:ascii="Arial" w:cs="Arial" w:eastAsia="Arial" w:hAnsi="Arial"/>
                <w:sz w:val="15"/>
                <w:szCs w:val="15"/>
                <w:color w:val="auto"/>
              </w:rPr>
              <w:t>(2)</w:t>
            </w:r>
          </w:p>
        </w:tc>
        <w:tc>
          <w:tcPr>
            <w:tcW w:w="920" w:type="dxa"/>
            <w:vAlign w:val="bottom"/>
          </w:tcPr>
          <w:p>
            <w:pPr>
              <w:jc w:val="right"/>
              <w:ind w:right="176"/>
              <w:spacing w:after="0"/>
              <w:rPr>
                <w:sz w:val="20"/>
                <w:szCs w:val="20"/>
                <w:color w:val="auto"/>
              </w:rPr>
            </w:pPr>
            <w:r>
              <w:rPr>
                <w:rFonts w:ascii="Arial" w:cs="Arial" w:eastAsia="Arial" w:hAnsi="Arial"/>
                <w:sz w:val="18"/>
                <w:szCs w:val="18"/>
                <w:color w:val="auto"/>
                <w:w w:val="98"/>
              </w:rPr>
              <w:t>174,351</w:t>
            </w:r>
          </w:p>
        </w:tc>
        <w:tc>
          <w:tcPr>
            <w:tcW w:w="1560" w:type="dxa"/>
            <w:vAlign w:val="bottom"/>
          </w:tcPr>
          <w:p>
            <w:pPr>
              <w:jc w:val="right"/>
              <w:ind w:right="201"/>
              <w:spacing w:after="0"/>
              <w:rPr>
                <w:sz w:val="20"/>
                <w:szCs w:val="20"/>
                <w:color w:val="auto"/>
              </w:rPr>
            </w:pPr>
            <w:r>
              <w:rPr>
                <w:rFonts w:ascii="Arial" w:cs="Arial" w:eastAsia="Arial" w:hAnsi="Arial"/>
                <w:sz w:val="18"/>
                <w:szCs w:val="18"/>
                <w:color w:val="auto"/>
              </w:rPr>
              <w:t>100,000</w:t>
            </w:r>
          </w:p>
        </w:tc>
        <w:tc>
          <w:tcPr>
            <w:tcW w:w="1200" w:type="dxa"/>
            <w:vAlign w:val="bottom"/>
          </w:tcPr>
          <w:p>
            <w:pPr>
              <w:jc w:val="right"/>
              <w:ind w:right="236"/>
              <w:spacing w:after="0"/>
              <w:rPr>
                <w:sz w:val="20"/>
                <w:szCs w:val="20"/>
                <w:color w:val="auto"/>
              </w:rPr>
            </w:pPr>
            <w:r>
              <w:rPr>
                <w:rFonts w:ascii="Arial" w:cs="Arial" w:eastAsia="Arial" w:hAnsi="Arial"/>
                <w:sz w:val="18"/>
                <w:szCs w:val="18"/>
                <w:color w:val="auto"/>
              </w:rPr>
              <w:t>74,351</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40" w:right="160" w:hanging="424"/>
        <w:spacing w:after="0" w:line="230"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Operating lease commitment represents future minimum payments under non-cancelable operating leases. Payments under operating leases are expensed on a straight-line basis over the periods of their respective leases.</w:t>
      </w:r>
    </w:p>
    <w:p>
      <w:pPr>
        <w:ind w:left="540" w:right="320" w:hanging="424"/>
        <w:spacing w:after="0" w:line="237"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June 2016, we entered into a banking facility agreement with a bank, pursuant to which we are entitled to borrow an RMB denominated loan of RMB400.0 million with a fixed annual interest rate at 90% of the benchmark five-year lending rate published by the People’s Bank of China to purchase property and equipment.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Kingsoft Cloud Holdings Limited is a holding company with no material operations of its own. We conduct our operations primarily through our subsidiaries and our consolidated VIEs.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87"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consolidated VIEs in China must make appropriations from their after-tax profit to non-distributable reserve funds including</w:t>
      </w:r>
    </w:p>
    <w:p>
      <w:pPr>
        <w:spacing w:after="0" w:line="2" w:lineRule="exact"/>
        <w:rPr>
          <w:sz w:val="20"/>
          <w:szCs w:val="20"/>
          <w:color w:val="auto"/>
        </w:rPr>
      </w:pPr>
    </w:p>
    <w:p>
      <w:pPr>
        <w:ind w:left="120" w:hanging="4"/>
        <w:spacing w:after="0" w:line="251"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VIEs. Appropriation to discretionary surplus fund is made at the discretion of our consolidated VIEs.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9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an offshore holding company, we are permitted under PRC laws and regulations to provide funding from the proceeds of our offshore fund raising activities to our PRC subsidiaries only through loans or capital contributions, and to our consolidated affiliated entity only through loans, in each case subject to the satisfaction of the applicable government registration and approval requirements.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subsidiaries and to make loans to our VIEs, which could materially and adversely affect our liquidity and our ability to fund and expand our business.” As a result, there is uncertainty with respect to our ability to provide prompt financial support to our PRC subsidiaries and consolidated VIEs when needed. Notwithstanding the foregoing, our PRC subsidiaries may use their own retained earnings (rather than Renminbi converted from foreign currency denominated capital) to provide financial support to our consolidated affiliated entity either through entrustment loans from our PRC subsidiaries to our consolidated VIEs or direct loans to such consolidated affiliated entity’s nominee shareholders, which would be contributed to the consolidated variable entity as capital injections. Such direct loans to the nominee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would be eliminated in our consolidated financial statements against the consolidated affiliated entity’s share capital.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Assets that potentially subject us to significant concentration of credit risk primarily consist of cash and cash equivalents, short-term investments, and accounts receivable. We expect that there is no significant credit risk associated with cash and cash equivalents and short-term investments, which were held by reputable financial institutions in the jurisdictions where we, our subsidiaries, and the VIEs are located. We believe that it is not exposed to unusual risks as these financial institutions have high credit quality.</w:t>
      </w:r>
    </w:p>
    <w:p>
      <w:pPr>
        <w:spacing w:after="0" w:line="18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Accounts receivable are typically unsecured and are derived from revenues earned from reputable customers. As of December 31, 2018 and 2019, we had two customers with a receivable balance exceeding 10% of the total accounts receivable balance, respectively. The risk with respect to accounts receivable is mitigated by credit evaluations we perform on our customers and our ongoing monitoring process of outstanding balances.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customer, political, social and economic risks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participate in a dynamic and competitive high technology industry and believe that changes in any of the following areas could have a material adverse effect on our future financial position, results of operations or cash flows: changes in the overall demand for services; competitive pressures due to existing competitors; and new trends in new technologies and industry standards; control of telecommunication infrastructures by local regulators and industry standards; changes in certain strategic relationships or customer relationships; regulatory considerations; and risks associated with our ability to attract and retain employees necessary to support our growth. Our operations could be adversely affected by significant political, economic and social uncertainties in the PRC.</w:t>
      </w:r>
    </w:p>
    <w:p>
      <w:pPr>
        <w:spacing w:after="0" w:line="192"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Our three largest customers accounted for 27%, 19% and 10%, respectively, of total revenues during the year ended December 31, 2017, 25%, 24% and 11%, respectively, of total revenues during the year ended December 31, 2018, and 31%, 14% and 12%, of total revenues during the year ended December 31, 2019. In addition, our total revenues generated from Premium Customers accounted for 93.7%, 95.3% and 97.4% of our total revenues in 2017, 2018 and 2019,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convertibility risk</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transact a majority of our business in RMB, which is not freely convertible into foreign currencies. On January 1, 1994, the PRC government abolished the dual rate system and introduced a single rate of exchange as quoted daily by the PBOC. However, the unification of the exchange rates does not imply that the RMB may be readily convertible into United States dollars or other foreign currencies. All foreign exchange transactions continue to take place either through the PBOC or other banks authorized to buy and sell foreign currencies at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exchange rates quoted by the PBOC. Approval of foreign currency payments by the PBOC or other institutions requires submitting a payment application form together with suppliers’ invoices, shipping documents and signed contracts. Additionally, the value of the RMB is subject to changes in central government policies and international economic and political developments affecting supply and demand in the PRC foreign exchange trading system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From July 21, 2005, the RMB is permitted to fluctuate within a narrow and managed band against a basket of certain foreign currencies. For RMB against U.S. dollar, there was depreciation of approximately 5.5% and 1.3% during the year ended December 31, 2018 and 2019, respectively. It is difficult to predict how market forces or PRC or U.S. government policy may impact the exchange rate between the RMB and the U.S. dollar in the future.</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To the extent that we need to convert U.S. dollar into RMB for capital expenditures and working capital and other business purposes, appreciation of RMB against U.S. dollar would have an adverse effect on the RMB amount we would receive from the conversion. Conversely, if we decide to convert RMB into U.S. dollar for the purpose of making payments for dividends on ordinary shares, strategic acquisitions or investments or other business purposes, appreciation of U.S. dollar against RMB would have a negative effect on the U.S. dollar amount available to us. In addition, a significant depreciation of the RMB against the U.S. dollar may significantly reduce the U.S. dollar equivalent of our earnings or losses.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estimate that we will receive net proceeds of approximately US$392.0 million from this offering, after deducting underwriting discounts and commissions and the estimated offering expenses payable by us, assuming the underwriters do not exercise their option to purchase additional ADSs, based on the initial offering price of US$17.00 per ADS, the midpoint of the estimated initial public offering price range set forth on the front cover of this prospectus. Assuming that we convert the full amount of the net proceeds from this offering into RMB, a 10% appreciation of the U.S. dollar against RMB, from a rate of RMB6.9618 to US$1.00, the rate in effect as of December 31, 2019, to a rate of RMB7.6580 to US$1.00, will result in an increase of RMB272.9 million in our net proceeds from this offering. Conversely, a 10% depreciation of the U.S. dollar against the RMB, from a rate of RMB6.9618 to US$1.00, the rate in effect as of December 31, 2019, to a rate of RMB6.2656 to US$1.00, will result in a decrease of RMB272.9 million in our net proceeds from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detailed discussion on recent accounting pronouncements, see Note 2 to our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INDUSTRY OVERVIEW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 of Cloud Services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Historically, enterprises invested in on-premise IT infrastructure and equipment to support the growing needs for computing power, storage and network. However, these on-premise IT models created massive complexity, cost, technical debt, and a tangled web of dependencies for the enterprises that deployed them. In recent years, the technology industry has undergone a massive transition from on-premise hardware and software that enterprises purchase to services on the cloud that they rent. Cloud services offer on-demand access to a shared pool of configurable, computing and storage resources which can be instantaneously deployed and easily scaled, therefore providing a wide variety of benefits to enterprises compared with the traditional on-premise IT model:</w:t>
      </w:r>
    </w:p>
    <w:p>
      <w:pPr>
        <w:spacing w:after="0" w:line="98" w:lineRule="exact"/>
        <w:rPr>
          <w:sz w:val="20"/>
          <w:szCs w:val="20"/>
          <w:color w:val="auto"/>
        </w:rPr>
      </w:pPr>
    </w:p>
    <w:p>
      <w:pPr>
        <w:ind w:left="1080" w:right="300" w:hanging="424"/>
        <w:spacing w:after="0" w:line="25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reduction. </w:t>
      </w:r>
      <w:r>
        <w:rPr>
          <w:rFonts w:ascii="Arial" w:cs="Arial" w:eastAsia="Arial" w:hAnsi="Arial"/>
          <w:sz w:val="18"/>
          <w:szCs w:val="18"/>
          <w:color w:val="auto"/>
        </w:rPr>
        <w:t>Cloud services significantly reduce enterprises’ upfront capital expenditures and ongoing expenses for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installing, maintaining, and upgrading their own on-premise IT infrastructure and equipment. Instead of hiring, training, and managing professional staff that operate and maintain on-premise IT models, enterprises can hand over these tasks to professional cloud services providers and enjoy instant, reliable, and cost-efficient services on a pay-as-you-go basis. As a result, management can focus on core business development.</w:t>
      </w:r>
    </w:p>
    <w:p>
      <w:pPr>
        <w:spacing w:after="0" w:line="93"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scalability and reliability. </w:t>
      </w:r>
      <w:r>
        <w:rPr>
          <w:rFonts w:ascii="Arial" w:cs="Arial" w:eastAsia="Arial" w:hAnsi="Arial"/>
          <w:sz w:val="18"/>
          <w:szCs w:val="18"/>
          <w:color w:val="auto"/>
        </w:rPr>
        <w:t>Enterprises’ storage and computing demand varies from time to time as they proceed to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stages. Cloud services allow enterprises to scale up and down their capacity in response to their demands flexibly and timely. Instead of upgrading or downgrading their own on-premise IT infrastructure, which may be time- and cost-consuming, enterprises can rely on cloud service providers for ready-to-use cloud capacity that fulfills their varying commercial needs. Underpinned by the latest and secure IT resources, cloud service providers deliver consistent and reliable high performance services with added benefits on data protection and disaster recovery.</w:t>
      </w:r>
    </w:p>
    <w:p>
      <w:pPr>
        <w:spacing w:after="0" w:line="97"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Technological innovation. </w:t>
      </w:r>
      <w:r>
        <w:rPr>
          <w:rFonts w:ascii="Arial" w:cs="Arial" w:eastAsia="Arial" w:hAnsi="Arial"/>
          <w:sz w:val="18"/>
          <w:szCs w:val="18"/>
          <w:color w:val="auto"/>
        </w:rPr>
        <w:t>Cloud technology is a new approach to create and build next generation applications, unlocking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solutions that traditional on-premise IT models cannot offer, including big data analytics, machine learning, edge computing and beyond.</w:t>
      </w:r>
    </w:p>
    <w:p>
      <w:pPr>
        <w:spacing w:after="0" w:line="184"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As a result of these benefits, global IT spending has seen a structural shift from traditional IT models to cloud services. According to Frost &amp; Sullivan, global IT spending is expected to grow from US$3,732 billion in 2019 to US$4,304 billion in 2024; cloud service spending accounted for 9.8% of global IT spending in 2019 as compared with 5.1% in 2015, and is expected to increase to 20.2% in 2024.</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Cloud Service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concept of cloud services was first commercially introduced by Amazon when it launched AWS in 2006. The cloud service market has been undergoing strong and steady growth since 2014 with the United States and China being the two largest markets in the world, according to Frost &amp; Sullivan.</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According to Frost &amp; Sullivan, the market size of United States’ cloud services has increased from US$102.5 billion in 2015 to US$222.3 billion in 2019, representing a CAGR of 21.3%, and is expected to reach US$559.4 billion in 2024, representing a CAGR of 20.3% from 2019 to 2024. In terms of market penetration, spending on cloud services as a percentage of total IT spending in the United States increased from 9.0% in 2015 to 15.8% in 2019, and is expected to reach 33.7% in 2024.</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Since 2018, China has become the second largest cloud services market globally in terms of revenue, following the United States, and has achieved rapid growth in recent years, according to Frost &amp; Sullivan. China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is experiencing transformation to cloud services at a pace faster than that in the United States. According to Frost &amp; Sullivan, the market size of China’s cloud service has increased from RMB45.0 billion in 2015 to RMB161.8 billion in 2019, representing a CAGR of 37.7%, and is expected to reach RMB563.3 billion in 2024, representing a CAGR of 28.3% from 2019 to 2024.</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China’s cloud service market is still at an early stage with lower market penetration than that in the United States. According to Frost &amp; Sullivan, cloud services as a percentage of total IT spending in China increased from 2.0% in 2015 to 6.0% in 2019, and is expected to reach 15.8% in 2024.</w:t>
      </w:r>
    </w:p>
    <w:p>
      <w:pPr>
        <w:spacing w:after="0" w:line="12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According to Frost &amp; Sullivan, based on the industries and verticals of customers, China’s cloud service market could be divided into (i) services for internet enterprises, or internet cloud market, and (ii) services for traditional enterprises and public service organizations. In addition, based on the fee model of services, China’s cloud service market could be divided into (i) services charged based on utilization and duration, or public cloud market, and (ii) services charged on a project basis.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Growth Drivers of China’s Cloud Service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factors are expected to drive the development and growth of China’s cloud service market, according to Frost &amp; Sullivan.</w:t>
      </w:r>
    </w:p>
    <w:p>
      <w:pPr>
        <w:spacing w:after="0" w:line="142" w:lineRule="exact"/>
        <w:rPr>
          <w:sz w:val="20"/>
          <w:szCs w:val="20"/>
          <w:color w:val="auto"/>
        </w:rPr>
      </w:pPr>
    </w:p>
    <w:p>
      <w:pPr>
        <w:ind w:left="108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Massive, high-growth demand from internet verticals. </w:t>
      </w:r>
      <w:r>
        <w:rPr>
          <w:rFonts w:ascii="Arial" w:cs="Arial" w:eastAsia="Arial" w:hAnsi="Arial"/>
          <w:sz w:val="18"/>
          <w:szCs w:val="18"/>
          <w:color w:val="auto"/>
        </w:rPr>
        <w:t>There is increasing penetration of internet and mobile users in China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spectrum of businesses are transforming themselves to offer internet-based services to their customers. In particular, consumption of online entertainment, such as video and game, and e-commerce has been rising significantly, driving demand for cloud resources. The internet cloud for these verticals has become a new and attractive area for growth.</w:t>
      </w:r>
    </w:p>
    <w:p>
      <w:pPr>
        <w:spacing w:after="0" w:line="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chart sets forth the market size and growth of China’s internet cloud market and its sub-sectors: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923280" cy="30435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2328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Frost &amp; Sullivan</w:t>
      </w:r>
    </w:p>
    <w:p>
      <w:pPr>
        <w:ind w:left="120"/>
        <w:spacing w:after="0" w:line="221" w:lineRule="auto"/>
        <w:rPr>
          <w:sz w:val="20"/>
          <w:szCs w:val="20"/>
          <w:color w:val="auto"/>
        </w:rPr>
      </w:pPr>
      <w:r>
        <w:rPr>
          <w:rFonts w:ascii="Arial" w:cs="Arial" w:eastAsia="Arial" w:hAnsi="Arial"/>
          <w:sz w:val="14"/>
          <w:szCs w:val="14"/>
          <w:color w:val="auto"/>
        </w:rPr>
        <w:t>Note:</w:t>
      </w:r>
    </w:p>
    <w:p>
      <w:pPr>
        <w:ind w:left="540" w:hanging="424"/>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Due to rounding, numbers may not add up precisely to the totals.</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penetration in traditional enterprises and public service organizations. </w:t>
      </w:r>
      <w:r>
        <w:rPr>
          <w:rFonts w:ascii="Arial" w:cs="Arial" w:eastAsia="Arial" w:hAnsi="Arial"/>
          <w:sz w:val="18"/>
          <w:szCs w:val="18"/>
          <w:color w:val="auto"/>
        </w:rPr>
        <w:t>Cloud penetration is expected to increase in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public service organizations. Customers in traditional industries and public service organizations in China are starting to become familiar with the concept of cloud services, and are incentivized to migrate to the cloud given the added benefits on cost saving, security and productivity enhancement. According to Frost &amp; Sullivan, in 2019, while 49.4% of traditional enterprises and public service organizations in the United States were using cloud services, only 10.5% of those in China were doing the same. Cloud service providers are well positioned to seize the significant opportunities brought by the migration to cloud of traditional enterprises and public service organizations.</w:t>
      </w:r>
    </w:p>
    <w:p>
      <w:pPr>
        <w:spacing w:after="0" w:line="87" w:lineRule="exact"/>
        <w:rPr>
          <w:sz w:val="20"/>
          <w:szCs w:val="20"/>
          <w:color w:val="auto"/>
        </w:rPr>
      </w:pPr>
    </w:p>
    <w:p>
      <w:pPr>
        <w:ind w:left="1100" w:right="480" w:firstLine="401"/>
        <w:spacing w:after="0" w:line="277" w:lineRule="auto"/>
        <w:rPr>
          <w:sz w:val="20"/>
          <w:szCs w:val="20"/>
          <w:color w:val="auto"/>
        </w:rPr>
      </w:pPr>
      <w:r>
        <w:rPr>
          <w:rFonts w:ascii="Arial" w:cs="Arial" w:eastAsia="Arial" w:hAnsi="Arial"/>
          <w:sz w:val="18"/>
          <w:szCs w:val="18"/>
          <w:color w:val="auto"/>
        </w:rPr>
        <w:t>The following chart sets forth the market size and growth of China’s cloud market for traditional enterprises and public service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5871845" cy="2957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7184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Source: Frost &amp; Sullivan</w:t>
      </w:r>
    </w:p>
    <w:p>
      <w:pPr>
        <w:ind w:left="560"/>
        <w:spacing w:after="0" w:line="221" w:lineRule="auto"/>
        <w:rPr>
          <w:sz w:val="20"/>
          <w:szCs w:val="20"/>
          <w:color w:val="auto"/>
        </w:rPr>
      </w:pPr>
      <w:r>
        <w:rPr>
          <w:rFonts w:ascii="Arial" w:cs="Arial" w:eastAsia="Arial" w:hAnsi="Arial"/>
          <w:sz w:val="14"/>
          <w:szCs w:val="14"/>
          <w:color w:val="auto"/>
        </w:rPr>
        <w:t>Notes:</w:t>
      </w:r>
    </w:p>
    <w:p>
      <w:pPr>
        <w:ind w:left="880" w:right="200" w:hanging="332"/>
        <w:spacing w:after="0" w:line="221"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Public service includes projects related to digital government, smart cities and others that mainly help information transformation of government committees and offices, State Administrations, China National Health Inspection, State Tax Administration and other government departments.</w:t>
      </w:r>
    </w:p>
    <w:p>
      <w:pPr>
        <w:ind w:left="880" w:hanging="332"/>
        <w:spacing w:after="0" w:line="221"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Financial Service includes projects in traditional and internet finance.</w:t>
      </w:r>
    </w:p>
    <w:p>
      <w:pPr>
        <w:ind w:left="880" w:hanging="332"/>
        <w:spacing w:after="0"/>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Numbers may not add up due to rounding.</w:t>
      </w:r>
    </w:p>
    <w:p>
      <w:pPr>
        <w:spacing w:after="0" w:line="222" w:lineRule="exact"/>
        <w:rPr>
          <w:rFonts w:ascii="Arial" w:cs="Arial" w:eastAsia="Arial" w:hAnsi="Arial"/>
          <w:sz w:val="14"/>
          <w:szCs w:val="14"/>
          <w:color w:val="auto"/>
        </w:rPr>
      </w:pPr>
    </w:p>
    <w:p>
      <w:pPr>
        <w:ind w:left="1080" w:right="220" w:hanging="424"/>
        <w:spacing w:after="0" w:line="272" w:lineRule="auto"/>
        <w:tabs>
          <w:tab w:leader="none" w:pos="1080" w:val="left"/>
        </w:tabs>
        <w:numPr>
          <w:ilvl w:val="1"/>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5G, AI and IoT. </w:t>
      </w:r>
      <w:r>
        <w:rPr>
          <w:rFonts w:ascii="Arial" w:cs="Arial" w:eastAsia="Arial" w:hAnsi="Arial"/>
          <w:sz w:val="17"/>
          <w:szCs w:val="17"/>
          <w:color w:val="auto"/>
        </w:rPr>
        <w:t>The deployment of 5G technology provides internet and mobile users with significantly higher transmission speed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considerable reduction of latency. Such improvements empower widely adopted AI applications as the development of neural network training and application of AI functions to terminal devices involve a large amount of data computing and processing. Together, 5G technology and AI become the driving force for IoT as they allow fast data transmission, elastic computing resource, great interconnectivity and control of devices, therefore creating demand for cloud services. According to Frost &amp; Sullivan, the IoT market in China is expected to reach RMB3,320.4 billion in 2024 from RMB1,737.8 billion in 2019, representing a CAGR of 13.8% from 2019 to 2024; and the number of IoT devices is expected to reach 7.0 billion by 2024.</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96"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Overseas expansion. </w:t>
      </w:r>
      <w:r>
        <w:rPr>
          <w:rFonts w:ascii="Arial" w:cs="Arial" w:eastAsia="Arial" w:hAnsi="Arial"/>
          <w:sz w:val="16"/>
          <w:szCs w:val="16"/>
          <w:color w:val="auto"/>
        </w:rPr>
        <w:t>As Chinese enterprises tap into overseas markets, cloud network and infrastructure will expand globally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Frost &amp; Sullivan, as a result of the national “Belt and Road” initiative, the number of Chinese internet enterprises stepping into overseas market has been increasing. For example, according to Frost &amp; Sullivan, there have been 7,415 Chinese enterprises that had international operations by the end of the first quarter of 2019 and this number is expected to increase. Southeast Asia, North America and Russia are the focus of overseas expansion, representing significant growth potentials to Chinese cloud service providers.</w:t>
      </w:r>
    </w:p>
    <w:p>
      <w:pPr>
        <w:spacing w:after="0" w:line="66" w:lineRule="exact"/>
        <w:rPr>
          <w:rFonts w:ascii="Arial" w:cs="Arial" w:eastAsia="Arial" w:hAnsi="Arial"/>
          <w:sz w:val="16"/>
          <w:szCs w:val="16"/>
          <w:color w:val="auto"/>
        </w:rPr>
      </w:pPr>
    </w:p>
    <w:p>
      <w:pPr>
        <w:ind w:left="1080" w:right="40" w:hanging="424"/>
        <w:spacing w:after="0" w:line="255"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Favorable government policies for the development of cloud services. </w:t>
      </w:r>
      <w:r>
        <w:rPr>
          <w:rFonts w:ascii="Arial" w:cs="Arial" w:eastAsia="Arial" w:hAnsi="Arial"/>
          <w:sz w:val="18"/>
          <w:szCs w:val="18"/>
          <w:color w:val="auto"/>
        </w:rPr>
        <w:t>The Chinese government has prioritized the development of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 recent years, according to Frost &amp; Sullivan. Since the beginning of the 12th Five-Year Plan (2010-2015), a huge amount of investment has been made in cloud service industry, and such investment is expected to further increase during the 13th Five-Year Plan (2016-2020). In 2019, the Chinese government promoted the concept of Internet Plus public service, encouraging public service organizations to adopt cloud services in their digital transformation, which once again recognized the strategic importance of cloud services to China’s economy.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China’s Public Cloud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China’s public cloud service industry has been experiencing significant growth since 2014 primarily due to the rapid growth and expansion of Chinese internet enterprises. China’s public cloud service market is one of the fastest growing markets in the world. According to Frost &amp; Sullivan, the market size of public cloud in China has increased from RMB11.9 billion in 2015 to RMB81.4 billion in 2019, representing a CAGR of 61.7%, and is expected to reach RMB368.1 billion in 2024, representing a CAGR of 35.2% from 2019 to 2024.</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Subsectors: IaaS, PaaS and SaaS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public cloud market can be further divided into three sub-sectors, namely Infrastructure as a Service (“IaaS”), Platform as a Service (“PaaS”) and Software as a Service (“SaaS”). China is still at an early stage of cloud service development, with enterprises migrating from on-premise IT models to cloud services. As a result, IaaS has experienced significant growth in the past few years and forms the largest part of the public cloud market in China. Looking forward, as infrastructure and transition from infrastructure to platform remain the major demands in China’s public cloud market, IaaS and PaaS are expected to be the primary growth drivers of China’s public cloud market. Leading IaaS players, leveraging their extensive infrastructure, advanced cloud technology, and transferrable customer base, are better positioned to extend their spectrum of services to PaaS market.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sets forth the market size and growth of China’s overall public cloud market and these sub-sectors.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666105" cy="258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6610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Frost &amp; Sullivan</w:t>
      </w:r>
    </w:p>
    <w:p>
      <w:pPr>
        <w:ind w:left="120"/>
        <w:spacing w:after="0"/>
        <w:rPr>
          <w:sz w:val="20"/>
          <w:szCs w:val="20"/>
          <w:color w:val="auto"/>
        </w:rPr>
      </w:pPr>
      <w:r>
        <w:rPr>
          <w:rFonts w:ascii="Arial" w:cs="Arial" w:eastAsia="Arial" w:hAnsi="Arial"/>
          <w:sz w:val="14"/>
          <w:szCs w:val="14"/>
          <w:color w:val="auto"/>
        </w:rPr>
        <w:t>(1) Numbers may not add up due to rounding.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Landscape of China’s Public Cloud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Players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Public cloud service providers in China are generally classified as domestic cloud service providers, including (i) internet cloud service providers,</w:t>
      </w:r>
    </w:p>
    <w:p>
      <w:pPr>
        <w:spacing w:after="0" w:line="46" w:lineRule="exact"/>
        <w:rPr>
          <w:sz w:val="20"/>
          <w:szCs w:val="20"/>
          <w:color w:val="auto"/>
        </w:rPr>
      </w:pPr>
    </w:p>
    <w:p>
      <w:pPr>
        <w:ind w:left="120" w:right="700" w:hanging="4"/>
        <w:spacing w:after="0" w:line="260" w:lineRule="auto"/>
        <w:tabs>
          <w:tab w:leader="none" w:pos="3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telecommunication operators, and (iii) hardware manufacturers, and international cloud service providers, who have the following features, according to Frost &amp; Sullivan:</w:t>
      </w:r>
    </w:p>
    <w:p>
      <w:pPr>
        <w:spacing w:after="0" w:line="86" w:lineRule="exact"/>
        <w:rPr>
          <w:rFonts w:ascii="Arial" w:cs="Arial" w:eastAsia="Arial" w:hAnsi="Arial"/>
          <w:sz w:val="18"/>
          <w:szCs w:val="18"/>
          <w:color w:val="auto"/>
        </w:rPr>
      </w:pPr>
    </w:p>
    <w:p>
      <w:pPr>
        <w:ind w:left="1080" w:hanging="424"/>
        <w:spacing w:after="0"/>
        <w:tabs>
          <w:tab w:leader="none" w:pos="108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Domestic cloud service providers:</w:t>
      </w:r>
    </w:p>
    <w:p>
      <w:pPr>
        <w:spacing w:after="0" w:line="134" w:lineRule="exact"/>
        <w:rPr>
          <w:rFonts w:ascii="Arial" w:cs="Arial" w:eastAsia="Arial" w:hAnsi="Arial"/>
          <w:sz w:val="18"/>
          <w:szCs w:val="18"/>
          <w:b w:val="1"/>
          <w:bCs w:val="1"/>
          <w:color w:val="auto"/>
        </w:rPr>
      </w:pPr>
    </w:p>
    <w:p>
      <w:pPr>
        <w:ind w:left="1540" w:right="220" w:hanging="331"/>
        <w:spacing w:after="0" w:line="263" w:lineRule="auto"/>
        <w:tabs>
          <w:tab w:leader="none" w:pos="1540" w:val="left"/>
        </w:tabs>
        <w:numPr>
          <w:ilvl w:val="2"/>
          <w:numId w:val="55"/>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Internet cloud service providers. </w:t>
      </w:r>
      <w:r>
        <w:rPr>
          <w:rFonts w:ascii="Arial" w:cs="Arial" w:eastAsia="Arial" w:hAnsi="Arial"/>
          <w:sz w:val="18"/>
          <w:szCs w:val="18"/>
          <w:color w:val="auto"/>
        </w:rPr>
        <w:t>Internet cloud service providers have been at the frontier of cloud development. They have built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technology, possess deep understanding of various fast growing internet verticals and are first movers in the first wave of cloud adoption by internet companies.</w:t>
      </w:r>
    </w:p>
    <w:p>
      <w:pPr>
        <w:spacing w:after="0" w:line="89" w:lineRule="exact"/>
        <w:rPr>
          <w:rFonts w:ascii="Arial" w:cs="Arial" w:eastAsia="Arial" w:hAnsi="Arial"/>
          <w:sz w:val="15"/>
          <w:szCs w:val="15"/>
          <w:color w:val="auto"/>
        </w:rPr>
      </w:pPr>
    </w:p>
    <w:p>
      <w:pPr>
        <w:ind w:left="1540" w:right="20" w:hanging="331"/>
        <w:spacing w:after="0" w:line="308" w:lineRule="auto"/>
        <w:tabs>
          <w:tab w:leader="none" w:pos="1540" w:val="left"/>
        </w:tabs>
        <w:numPr>
          <w:ilvl w:val="2"/>
          <w:numId w:val="55"/>
        </w:numPr>
        <w:rPr>
          <w:rFonts w:ascii="Arial" w:cs="Arial" w:eastAsia="Arial" w:hAnsi="Arial"/>
          <w:sz w:val="14"/>
          <w:szCs w:val="14"/>
          <w:color w:val="auto"/>
        </w:rPr>
      </w:pPr>
      <w:r>
        <w:rPr>
          <w:rFonts w:ascii="Arial" w:cs="Arial" w:eastAsia="Arial" w:hAnsi="Arial"/>
          <w:sz w:val="17"/>
          <w:szCs w:val="17"/>
          <w:b w:val="1"/>
          <w:bCs w:val="1"/>
          <w:i w:val="1"/>
          <w:iCs w:val="1"/>
          <w:color w:val="auto"/>
        </w:rPr>
        <w:t xml:space="preserve">Telecommunication operators. </w:t>
      </w:r>
      <w:r>
        <w:rPr>
          <w:rFonts w:ascii="Arial" w:cs="Arial" w:eastAsia="Arial" w:hAnsi="Arial"/>
          <w:sz w:val="17"/>
          <w:szCs w:val="17"/>
          <w:color w:val="auto"/>
        </w:rPr>
        <w:t>Benefiting from their position in cloud value chain and resources, telecommunication operators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able to tap into cloud service markets, with particular focus on government and state-owned enterprises.</w:t>
      </w:r>
    </w:p>
    <w:p>
      <w:pPr>
        <w:spacing w:after="0" w:line="51" w:lineRule="exact"/>
        <w:rPr>
          <w:rFonts w:ascii="Arial" w:cs="Arial" w:eastAsia="Arial" w:hAnsi="Arial"/>
          <w:sz w:val="14"/>
          <w:szCs w:val="14"/>
          <w:color w:val="auto"/>
        </w:rPr>
      </w:pPr>
    </w:p>
    <w:p>
      <w:pPr>
        <w:ind w:left="1540" w:right="80" w:hanging="331"/>
        <w:spacing w:after="0" w:line="263" w:lineRule="auto"/>
        <w:tabs>
          <w:tab w:leader="none" w:pos="1540" w:val="left"/>
        </w:tabs>
        <w:numPr>
          <w:ilvl w:val="2"/>
          <w:numId w:val="55"/>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Hardware manufacturers. </w:t>
      </w:r>
      <w:r>
        <w:rPr>
          <w:rFonts w:ascii="Arial" w:cs="Arial" w:eastAsia="Arial" w:hAnsi="Arial"/>
          <w:sz w:val="18"/>
          <w:szCs w:val="18"/>
          <w:color w:val="auto"/>
        </w:rPr>
        <w:t>Hardware manufacturers can integrate cloud solutions into hardware and provide a total solution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mainly in the public service sector. Hardware manufacturers have relatively limited capabilities and solutions for internet verticals and are less competitive in the public cloud market.</w:t>
      </w:r>
    </w:p>
    <w:p>
      <w:pPr>
        <w:spacing w:after="0" w:line="85" w:lineRule="exact"/>
        <w:rPr>
          <w:rFonts w:ascii="Arial" w:cs="Arial" w:eastAsia="Arial" w:hAnsi="Arial"/>
          <w:sz w:val="15"/>
          <w:szCs w:val="15"/>
          <w:color w:val="auto"/>
        </w:rPr>
      </w:pPr>
    </w:p>
    <w:p>
      <w:pPr>
        <w:ind w:left="1080" w:right="460" w:hanging="424"/>
        <w:spacing w:after="0" w:line="282"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International cloud service providers</w:t>
      </w:r>
      <w:r>
        <w:rPr>
          <w:rFonts w:ascii="Arial" w:cs="Arial" w:eastAsia="Arial" w:hAnsi="Arial"/>
          <w:sz w:val="18"/>
          <w:szCs w:val="18"/>
          <w:color w:val="auto"/>
        </w:rPr>
        <w:t>. International cloud service providers have established presences in China through their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with local businesses.</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Among all the public cloud service providers, the role of independent cloud service providers is increasingly important. Independent cloud service providers are defined as those that are not belonging to any large-scale conglomerates that are involved in a wide range of businesses where they could potentially compete with their customers</w:t>
      </w:r>
      <w:r>
        <w:rPr>
          <w:rFonts w:ascii="Arial" w:cs="Arial" w:eastAsia="Arial" w:hAnsi="Arial"/>
          <w:sz w:val="16"/>
          <w:szCs w:val="16"/>
          <w:i w:val="1"/>
          <w:iCs w:val="1"/>
          <w:color w:val="auto"/>
        </w:rPr>
        <w:t>.</w:t>
      </w:r>
      <w:r>
        <w:rPr>
          <w:rFonts w:ascii="Arial" w:cs="Arial" w:eastAsia="Arial" w:hAnsi="Arial"/>
          <w:sz w:val="16"/>
          <w:szCs w:val="16"/>
          <w:color w:val="auto"/>
        </w:rPr>
        <w:t xml:space="preserve"> They have limited potential conflicts of interest and competition with their customers and are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therefore entrusted by customers. As a result, independent cloud service providers are well positioned to capture the high growth of the cloud service market. Kingsoft Cloud is the largest independent cloud service provider in China with a market share of 5.4% in terms of revenue from IaaS and PaaS public cloud services in 2019, according to Frost &amp; Sullivan</w:t>
      </w:r>
      <w:r>
        <w:rPr>
          <w:rFonts w:ascii="Arial" w:cs="Arial" w:eastAsia="Arial" w:hAnsi="Arial"/>
          <w:sz w:val="18"/>
          <w:szCs w:val="18"/>
          <w:i w:val="1"/>
          <w:iCs w:val="1"/>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Entry Barriers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Similar to the United States, the public cloud market in China has been undergoing consolidation. Incumbents have established significant competitive advantages that prevent potential entrants to enter and out-compete sub-scale players. According to Frost &amp; Sullivan, key entry barriers include:</w:t>
      </w:r>
    </w:p>
    <w:p>
      <w:pPr>
        <w:spacing w:after="0" w:line="89" w:lineRule="exact"/>
        <w:rPr>
          <w:sz w:val="20"/>
          <w:szCs w:val="20"/>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Incumbents of the public cloud market have gained valuable customer relationships and brand value, which takes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to build. New and potential entrants have difficulties in building the scale in short period of time.</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capital investment. </w:t>
      </w:r>
      <w:r>
        <w:rPr>
          <w:rFonts w:ascii="Arial" w:cs="Arial" w:eastAsia="Arial" w:hAnsi="Arial"/>
          <w:sz w:val="18"/>
          <w:szCs w:val="18"/>
          <w:color w:val="auto"/>
        </w:rPr>
        <w:t>Economies of scale are one of the main characteristics of the industry. The public cloud market requires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upfront capital investment to build cloud infrastructures and research and development capability, and to expand channels. This requisite directly weakens the competitiveness of smaller players in the public cloud market.</w:t>
      </w:r>
    </w:p>
    <w:p>
      <w:pPr>
        <w:spacing w:after="0" w:line="89"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Technology know-how. </w:t>
      </w:r>
      <w:r>
        <w:rPr>
          <w:rFonts w:ascii="Arial" w:cs="Arial" w:eastAsia="Arial" w:hAnsi="Arial"/>
          <w:sz w:val="16"/>
          <w:szCs w:val="16"/>
          <w:color w:val="auto"/>
        </w:rPr>
        <w:t>The public cloud market is heavily technology-based. Incumbents retain most of the talented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know-how, patents and operational excellence, effectively protecting them from new and potential entrants’ challenges.</w:t>
      </w:r>
    </w:p>
    <w:p>
      <w:pPr>
        <w:spacing w:after="0" w:line="29" w:lineRule="exact"/>
        <w:rPr>
          <w:rFonts w:ascii="Arial" w:cs="Arial" w:eastAsia="Arial" w:hAnsi="Arial"/>
          <w:sz w:val="16"/>
          <w:szCs w:val="16"/>
          <w:color w:val="auto"/>
        </w:rPr>
      </w:pPr>
    </w:p>
    <w:p>
      <w:pPr>
        <w:ind w:left="1080" w:right="220" w:hanging="424"/>
        <w:spacing w:after="0" w:line="296"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serve enterprise customers and enhance customer stickiness. </w:t>
      </w:r>
      <w:r>
        <w:rPr>
          <w:rFonts w:ascii="Arial" w:cs="Arial" w:eastAsia="Arial" w:hAnsi="Arial"/>
          <w:sz w:val="16"/>
          <w:szCs w:val="16"/>
          <w:color w:val="auto"/>
        </w:rPr>
        <w:t>Scaled players have built the capability to serve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which, once obtained, are sticky. The capability is underpinned by knowledge of client industry, premium service delivery, advanced technology, first grade infrastructure qualification and customer trust. Once cloud customers have chosen their cloud service providers. to store their data and operate their applications, this reliance strengthens as the service continues, creating natural customer stickiness. Competitors need to overcome high switching cost to attract incumbents’ customers.</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aggregate market share of the top five players in China’s public cloud market in terms of revenue from IaaS and PaaS public cloud services was 79.9% in 2019, according to Frost &amp; Sullivan.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for Multi-cloud and Neutrality</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Driven by the need to prevent data loss or downtime due to localized component failure in a single cloud, to ensure continued high-quality performance, to reduce latency by geographical distribution of processing requests and to minimize the dependency on a single cloud service provider, there is a trend among cloud customers to retain two or more cloud service providers. According to Frost &amp; Sullivan, in 2019, approximately 26.0% of enterprises with over 1,000 employees in China that are using cloud adopted multi-cloud strategy, compared with 85.0% in the United States.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cloud service continues to be adopted in a wider range of industries in China, potential conflicts of interest arise as some customers are conscious of data protection or loss of business secrets by using cloud service provided by vendors belonging to large-scale conglomerates that may have direct business competition with them. With neutrality becoming a more important factor, independent cloud service providers are becoming the preferred choice for an increasing number of customers.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320" w:top="459" w:right="5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empower enterprises with cloud services.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the largest independent cloud service provider in China, according to Frost &amp; Sullivan. We have built a comprehensive and reliable cloud platform consisting of extensive cloud infrastructure, cutting-edge cloud products and well-architected industry-specific solutions across public cloud, enterprise cloud and AIoT cloud services, based on which we have achieved a leading position in the cloud market in China. We are the third largest internet cloud service provider in China with a market share of 5.4% in terms of revenue from IaaS and PaaS public cloud services in 2019, according to Frost &amp; Sullivan.</w:t>
      </w:r>
    </w:p>
    <w:p>
      <w:pPr>
        <w:spacing w:after="0" w:line="18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Cloud offers a wide variety of benefits, primarily including cost reduction, flexibility, scalability and reliability, and technology innovation, to enterprises compared with the traditional on-premise IT models. As a result of these benefits, global IT spending has seen a structural shift from traditional on-premise IT models to a cloud-based model. In 2018, China has become the second largest cloud market globally in terms of revenue, following the United States, according to Frost &amp; Sullivan. The market size of China’s cloud services grew at a CAGR of 37.7% from 2015 to 2019 and is expected to grow at a CAGR of 28.3% from 2019 to 2024, outpacing the CAGR of 21.3% and 20.3% for the respective periods in the United States, according to Frost &amp; Sullivan. Based on the industries and verticals of customers, China’s cloud service market could be divided into (i) services for internet enterprises, or internet cloud market, and (ii) services for traditional enterprises and public service organizations. The market size of China’s internet cloud market was RMB53.8 billion in 2019 and is expected to reach RMB217.5 billion in 2024, while the market size of China’s cloud market for traditional enterprises and public service organizations is even larger, which was RMB108.0 billion in 2019 and is expected to reach RMB345.9 billion in 2024, according to Frost &amp; Sullivan. In addition, based on the fee model of services, China’s cloud service market could be divided into (i) services charged based on utilization and duration, or public cloud market, and (ii) services charged on a project basis. China’s public cloud market is one of the fastest growing markets in the world. According to Frost &amp; Sullivan, the market size of China’s public cloud market was RMB81.4 billion in 2019 and is expected to reach RMB368.1 billion in 2024, while the market size of cloud services charged on a project basis was RMB80.4 billion in 2019 and is expected to reach RMB195.2 billion in 2024.</w:t>
      </w:r>
    </w:p>
    <w:p>
      <w:pPr>
        <w:spacing w:after="0" w:line="184" w:lineRule="exact"/>
        <w:rPr>
          <w:sz w:val="20"/>
          <w:szCs w:val="20"/>
          <w:color w:val="auto"/>
        </w:rPr>
      </w:pPr>
    </w:p>
    <w:p>
      <w:pPr>
        <w:jc w:val="both"/>
        <w:ind w:left="120" w:right="100" w:firstLine="440"/>
        <w:spacing w:after="0" w:line="257" w:lineRule="auto"/>
        <w:rPr>
          <w:sz w:val="20"/>
          <w:szCs w:val="20"/>
          <w:color w:val="auto"/>
        </w:rPr>
      </w:pPr>
      <w:r>
        <w:rPr>
          <w:rFonts w:ascii="Arial" w:cs="Arial" w:eastAsia="Arial" w:hAnsi="Arial"/>
          <w:sz w:val="18"/>
          <w:szCs w:val="18"/>
          <w:color w:val="auto"/>
        </w:rPr>
        <w:t>Moreover, China’s cloud market is at an early stage with tremendous growth potentials as indicated by the lower market penetration as compared to that in the United States. Being among the existing market leaders who have built significant competitive advantages in a market that has high entry barriers, we are well positioned to capture the large and growing market opportunities brought about by the increased penetration of cloud services into traditional enterprises and public service organizations, application of 5G, AI and IoT, demand for multi-cloud and neutrality, and support by favorable government policies.</w:t>
      </w:r>
    </w:p>
    <w:p>
      <w:pPr>
        <w:spacing w:after="0" w:line="18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Being an independently operated company, focusing on cloud services since our inception, we are able to fully mobilize our resources into the innovation of our business models and provide high-quality services to businesses and organizations of all kind. With our full dedication to cloud business, we are able to avoid potential conflicts of interest with our customers and enhance our neutral position, which in turn gains additional trust from more and more customers.</w:t>
      </w:r>
    </w:p>
    <w:p>
      <w:pPr>
        <w:spacing w:after="0" w:line="18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Leveraging our profound industry insights, we saw significant growth prospects in selected verticals, such as game, video and financial services. We have strategically expanded our footprints into such fast-growing verticals as first-movers and have established a leading market position through relentless execution. We have inherited the “enterprise service DNA” from Kingsoft Group, the widely trusted leading software franchise in China, and have established superior enterprise service capabilities. Benefiting from Kingsoft Group’s over 30</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years of experience in providing enterprise services, we value each customer and provide best-in-class customer services covering their entire life-cycle. Such customer-centric service philosophy enables us to achieve increasing brand recognition, a loyal customer base while improving unit economics. We also adopt a premium-customer strategy, focusing on leading enterprises within selected verticals to establish our market presence efficiently. The total number of our Premium Customers increased from 113 in 2017 to 154 in 2018, and further to 243 in 2019. In 2018 and 2019, our net dollar retention rate of Public Cloud Service Premium Customers was 161% and 155%, respectively.</w:t>
      </w:r>
    </w:p>
    <w:p>
      <w:pPr>
        <w:spacing w:after="0" w:line="17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We enjoy a skilled talent pool and will continue to invest in research and development to enhance our technology leadership and upgrade our cloud solutions. As of December 31, 2019, our research and development team consisted of 1,150 engineers, researchers, programmers and computer and data scientists, accounting for 62% of our total employees.</w:t>
      </w:r>
    </w:p>
    <w:p>
      <w:pPr>
        <w:spacing w:after="0" w:line="18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Attributable to the above, we have achieved superior growth. Our revenues increased by 79.5% from RMB1,236.0 million in 2017 to RMB2,218.2 million in 2018, and further increased by 78.4% to RMB3,956.4 million (US$568.3 million) in 2019. We have incurred gross loss of RMB118.2 million and RMB200.4 million in 2017 and 2018, respectively, and generated gross profit of RMB7.7 million (US$1.1 million) in 2019. We have incurred net loss of RMB714.3 million, RMB1,006.4 million and RMB1,111.2 million (US$159.6 million) in 2017, 2018 and 2019,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Cloud offers a wide variety of benefits to enterprises compared with the traditional on-premise IT models:</w:t>
      </w:r>
    </w:p>
    <w:p>
      <w:pPr>
        <w:spacing w:after="0" w:line="131" w:lineRule="exact"/>
        <w:rPr>
          <w:sz w:val="20"/>
          <w:szCs w:val="20"/>
          <w:color w:val="auto"/>
        </w:rPr>
      </w:pPr>
    </w:p>
    <w:p>
      <w:pPr>
        <w:ind w:left="1080" w:right="6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reduction. </w:t>
      </w:r>
      <w:r>
        <w:rPr>
          <w:rFonts w:ascii="Arial" w:cs="Arial" w:eastAsia="Arial" w:hAnsi="Arial"/>
          <w:sz w:val="18"/>
          <w:szCs w:val="18"/>
          <w:color w:val="auto"/>
        </w:rPr>
        <w:t>Cloud services significantly reduce enterprises’ upfront capital expenditure and ongoing expenses for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installing, maintaining, and upgrading their own on-premise IT infrastructure and equipment.</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scalability and reliability. </w:t>
      </w:r>
      <w:r>
        <w:rPr>
          <w:rFonts w:ascii="Arial" w:cs="Arial" w:eastAsia="Arial" w:hAnsi="Arial"/>
          <w:sz w:val="18"/>
          <w:szCs w:val="18"/>
          <w:color w:val="auto"/>
        </w:rPr>
        <w:t>Cloud services allow enterprises to scale up and down their capacity in response to demand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flexible and timely manner. Underpinned by the latest and secure IT resources, cloud service providers deliver consistent and reliable high performance services with added benefits on data protection and disaster recovery.</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Technological innovation. </w:t>
      </w:r>
      <w:r>
        <w:rPr>
          <w:rFonts w:ascii="Arial" w:cs="Arial" w:eastAsia="Arial" w:hAnsi="Arial"/>
          <w:sz w:val="18"/>
          <w:szCs w:val="18"/>
          <w:color w:val="auto"/>
        </w:rPr>
        <w:t>Cloud technology presents a new approach to create and build next generation applications, unlocking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for solutions that traditional on-premise IT models cannot offer, including big data analytics, machine learning, edge computing and beyond.</w:t>
      </w:r>
    </w:p>
    <w:p>
      <w:pPr>
        <w:spacing w:after="0" w:line="184"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Cloud services develop on the foundation of infrastructure and evolves far beyond the infrastructure. Cloud architecture has transformed into a suite of industry-specific solutions for enterprises, hosting a wide variety of industry-customized applications on top of the infrastructure resources.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2018, China has become the second largest cloud market globally in terms of revenue, following the United States cloud market, and has achieved rapid growth in recent years, according to Frost &amp; Sullivan. The market size of China’s cloud services has increased from RMB45.0 billion in 2015 to RMB161.8 billion in 2019, representing a CAGR of 37.7%, and is expected to reach RMB563.3 billion in 2024, representing a CAGR of 28.3% from 2019 to 2024, outpacing the United States cloud market, according to Frost &amp; Sullivan.</w:t>
      </w:r>
    </w:p>
    <w:p>
      <w:pPr>
        <w:spacing w:after="0" w:line="18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Moreover, China’s cloud market is still at an early stage with tremendous growth potential as indicated by its lower market penetration as compared to that in the United States. According to Frost &amp; Sullivan, cloud services as a percentage of total IT spending in China was 6.0% in 2019, compared to 15.8% in the United States in 2019, and is expected to reach 15.8% in 2024.</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Existing market leaders, including us, have built high entry barriers, anchored by cloud technology, superior enterprise servicing capabilities, and high customer stickiness. We believe we are well positioned to capture the following development trends in the massive and fast growing cloud market in China:</w:t>
      </w:r>
    </w:p>
    <w:p>
      <w:pPr>
        <w:spacing w:after="0" w:line="89" w:lineRule="exact"/>
        <w:rPr>
          <w:sz w:val="20"/>
          <w:szCs w:val="20"/>
          <w:color w:val="auto"/>
        </w:rPr>
      </w:pPr>
    </w:p>
    <w:p>
      <w:pPr>
        <w:ind w:left="108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penetration in traditional enterprises and public service organizations. </w:t>
      </w:r>
      <w:r>
        <w:rPr>
          <w:rFonts w:ascii="Arial" w:cs="Arial" w:eastAsia="Arial" w:hAnsi="Arial"/>
          <w:sz w:val="18"/>
          <w:szCs w:val="18"/>
          <w:color w:val="auto"/>
        </w:rPr>
        <w:t>Cloud penetration is expected to increase in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public service organizations. According to Frost &amp; Sullivan, in 2019, while 49.4% of traditional enterprises and public service organizations in the United States were using cloud services, only 10.5% of those in China were doing the same. Cloud service providers are well positioned to seize the significant opportunities brought by the migration to cloud of traditional enterprises and public service organizations.</w:t>
      </w:r>
    </w:p>
    <w:p>
      <w:pPr>
        <w:spacing w:after="0" w:line="93" w:lineRule="exact"/>
        <w:rPr>
          <w:rFonts w:ascii="Arial" w:cs="Arial" w:eastAsia="Arial" w:hAnsi="Arial"/>
          <w:sz w:val="18"/>
          <w:szCs w:val="18"/>
          <w:color w:val="auto"/>
        </w:rPr>
      </w:pPr>
    </w:p>
    <w:p>
      <w:pPr>
        <w:ind w:left="1080" w:right="220" w:hanging="424"/>
        <w:spacing w:after="0" w:line="272"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5G, AI and IoT. </w:t>
      </w:r>
      <w:r>
        <w:rPr>
          <w:rFonts w:ascii="Arial" w:cs="Arial" w:eastAsia="Arial" w:hAnsi="Arial"/>
          <w:sz w:val="17"/>
          <w:szCs w:val="17"/>
          <w:color w:val="auto"/>
        </w:rPr>
        <w:t>The deployment of 5G technology provides internet and mobile users with significantly higher transmission speed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considerable reduction of latency. Such improvements empower widely adopted AI applications as the development of neural network training and application of AI functions to terminal devices involve a large amount of data computing and processing. Together, 5G technology and AI become the driving force for IoT as they allow fast data transmission, elastic computing resource, great interconnectivity and control of devices, therefore creating demand for cloud services. According to Frost &amp; Sullivan, the IoT market in China is expected to reach RMB3,320.4 billion in 2024 from RMB1,737.8 billion in 2019, representing a CAGR of 13.8% from 2019 to 2024; and the number of IoT devices is expected to reach 7.0 billion by 2024.</w:t>
      </w:r>
    </w:p>
    <w:p>
      <w:pPr>
        <w:spacing w:after="0" w:line="82" w:lineRule="exact"/>
        <w:rPr>
          <w:rFonts w:ascii="Arial" w:cs="Arial" w:eastAsia="Arial" w:hAnsi="Arial"/>
          <w:sz w:val="17"/>
          <w:szCs w:val="17"/>
          <w:color w:val="auto"/>
        </w:rPr>
      </w:pPr>
    </w:p>
    <w:p>
      <w:pPr>
        <w:ind w:left="1080" w:hanging="424"/>
        <w:spacing w:after="0" w:line="270"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Demand for multi-cloud and neutrality. </w:t>
      </w:r>
      <w:r>
        <w:rPr>
          <w:rFonts w:ascii="Arial" w:cs="Arial" w:eastAsia="Arial" w:hAnsi="Arial"/>
          <w:sz w:val="17"/>
          <w:szCs w:val="17"/>
          <w:color w:val="auto"/>
        </w:rPr>
        <w:t>Driven by the need to prevent data loss or downtime due to localized component failure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cloud, to ensure continued high-quality performance, to reduce latency by geographical distribution of processing requests and to minimize the dependency on a single cloud service provider, there is a trend among cloud customers to retain two or more cloud service providers. According to Frost &amp; Sullivan, in 2019, approximately 26.0% of enterprises with over 1,000 employees in China that are using cloud adopted multi-cloud strategy, compared with 85.0% in the United States. As cloud services continue to be adopted in a wider range of industries in China, potential conflicts of interest arise, as some customers are conscious of data protection or loss of business secrets by using cloud services provided by vendors belonging to large-scale conglomerates that may have direct business competition with them. With neutrality becoming a more important factor, independent cloud service providers are becoming the preferred choice for an increasing number of customers.</w:t>
      </w:r>
    </w:p>
    <w:p>
      <w:pPr>
        <w:spacing w:after="0" w:line="86" w:lineRule="exact"/>
        <w:rPr>
          <w:rFonts w:ascii="Arial" w:cs="Arial" w:eastAsia="Arial" w:hAnsi="Arial"/>
          <w:sz w:val="17"/>
          <w:szCs w:val="17"/>
          <w:color w:val="auto"/>
        </w:rPr>
      </w:pPr>
    </w:p>
    <w:p>
      <w:pPr>
        <w:ind w:left="1080" w:right="40" w:hanging="424"/>
        <w:spacing w:after="0" w:line="29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Favorable government policies for the development of cloud services. </w:t>
      </w:r>
      <w:r>
        <w:rPr>
          <w:rFonts w:ascii="Arial" w:cs="Arial" w:eastAsia="Arial" w:hAnsi="Arial"/>
          <w:sz w:val="16"/>
          <w:szCs w:val="16"/>
          <w:color w:val="auto"/>
        </w:rPr>
        <w:t>The Chinese government has prioritized the development of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recent years, according to Frost &amp; Sullivan. Since the beginning of the 12th Five-Year Plan (2010-2015), a huge amount of investment has been made in cloud services, and investment is expected to further increase during the 13th Five-Year Plan (2016-2020). In 2019, the Chinese government promoted the concept of Internet Plus public service, encouraging public service organizations to adopt cloud services in their digital transformation, which once again recognized the strategic importance of cloud services to China’s economy.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Cloud Platform</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dedicated to providing high-quality cloud services to businesses and organizations of all kind. We have built a comprehensive and reliable cloud platform consisting of extensive cloud infrastructure, cutting-edge cloud products as well as well-architected industry-specific solutions. The following diagram illustrates the components of our cloud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142875</wp:posOffset>
            </wp:positionV>
            <wp:extent cx="5117465" cy="2425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1746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cloud infrastructure. </w:t>
      </w:r>
      <w:r>
        <w:rPr>
          <w:rFonts w:ascii="Arial" w:cs="Arial" w:eastAsia="Arial" w:hAnsi="Arial"/>
          <w:sz w:val="18"/>
          <w:szCs w:val="18"/>
          <w:color w:val="auto"/>
        </w:rPr>
        <w:t>We have established industry-leading cloud infrastructure which is fundamental to our cloud platform.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31, 2019, we had a data center and CDN node network with more than 73,000 servers throughout China and in six other countries and regions and achieved exabyte-level storage capacity.</w:t>
      </w:r>
    </w:p>
    <w:p>
      <w:pPr>
        <w:spacing w:after="0" w:line="89" w:lineRule="exact"/>
        <w:rPr>
          <w:rFonts w:ascii="Arial" w:cs="Arial" w:eastAsia="Arial" w:hAnsi="Arial"/>
          <w:sz w:val="18"/>
          <w:szCs w:val="18"/>
          <w:color w:val="auto"/>
        </w:rPr>
      </w:pPr>
    </w:p>
    <w:p>
      <w:pPr>
        <w:jc w:val="both"/>
        <w:ind w:left="1080" w:right="180" w:hanging="424"/>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Cutting-edge cloud products. </w:t>
      </w:r>
      <w:r>
        <w:rPr>
          <w:rFonts w:ascii="Arial" w:cs="Arial" w:eastAsia="Arial" w:hAnsi="Arial"/>
          <w:sz w:val="16"/>
          <w:szCs w:val="16"/>
          <w:color w:val="auto"/>
        </w:rPr>
        <w:t>Our cloud platform is architected specifically to enable enterprises such as internet companies to operate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business in a flexible and distributed manner. As one of the first movers serving internet customers, we have cultivated proprietary cloud technology and successfully commercialized our technological capabilities through a variety of superior products.</w:t>
      </w:r>
    </w:p>
    <w:p>
      <w:pPr>
        <w:spacing w:after="0" w:line="54"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Well-architected industry-specific solutions. </w:t>
      </w:r>
      <w:r>
        <w:rPr>
          <w:rFonts w:ascii="Arial" w:cs="Arial" w:eastAsia="Arial" w:hAnsi="Arial"/>
          <w:sz w:val="18"/>
          <w:szCs w:val="18"/>
          <w:color w:val="auto"/>
        </w:rPr>
        <w:t>Based on the variety of cloud products, we have designed various industry-specific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can unleash the full potential of our infrastructure resources and add value to our customers. Leveraging our profound industry insights, we have strategically expanded our footprints into selected and fast-growing verticals as first-movers and have established a leading market position through relentless execution. As of the date of this prospectus, we have designed over 120 industry-specific solutions.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cloud platform enables us to maintain our market leading position and capture significant market opportunities.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Largest Independent Cloud Service Provider in China</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are the largest independent cloud service provider in China, according to Frost &amp; Sullivan. Based on our comprehensive and reliable cloud platform consisting of extensive cloud infrastructure, cutting-edge cloud products and well-architected industry-specific solutions, we have achieved a leading position in the cloud market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40"/>
          </w:cols>
          <w:pgMar w:left="320" w:top="459"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China. We are the third largest internet cloud service provider in China with a market share of 5.4% in terms of revenue from IaaS and PaaS public cloud services, according to Frost &amp; Sullivan.</w:t>
      </w:r>
    </w:p>
    <w:p>
      <w:pPr>
        <w:spacing w:after="0" w:line="72" w:lineRule="exact"/>
        <w:rPr>
          <w:sz w:val="20"/>
          <w:szCs w:val="20"/>
          <w:color w:val="auto"/>
        </w:rPr>
      </w:pPr>
    </w:p>
    <w:p>
      <w:pPr>
        <w:jc w:val="both"/>
        <w:ind w:left="1080" w:right="40" w:hanging="424"/>
        <w:spacing w:after="0" w:line="261"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“All in” Cloud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full commitment to cloud services has contributed to our leading position. We are dedicated to providing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services since our inception. As an independently operated company focusing only on cloud, our independent organization structure has enabled us to fully mobilize our resources to enhance the research and development of our products and solutions, to expand into more verticals, and to capture massive business opportunities.</w:t>
      </w:r>
    </w:p>
    <w:p>
      <w:pPr>
        <w:spacing w:after="0" w:line="85" w:lineRule="exact"/>
        <w:rPr>
          <w:rFonts w:ascii="Arial" w:cs="Arial" w:eastAsia="Arial" w:hAnsi="Arial"/>
          <w:sz w:val="18"/>
          <w:szCs w:val="18"/>
          <w:color w:val="auto"/>
        </w:rPr>
      </w:pPr>
    </w:p>
    <w:p>
      <w:pPr>
        <w:ind w:left="1080" w:right="60" w:hanging="424"/>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Neutrality and Trust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virtue of our independent operations and full commitment to cloud services, we have been gaining trust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 our neutral positioning. As businesses move to the cloud, there are increasing concerns over data safety and vendor lock-in risk. In addition, more and more enterprises have adopted multi-cloud strategy to ensure the reliability of cloud services and data security. Unlike other leading internet cloud service providers in China that are involved in businesses that compete with customers, we do not have conflicts of interest or competition with our customers. Therefore, we believe we are well-positioned to serve diverse customers, address their concerns and become their core vendor.</w:t>
      </w:r>
    </w:p>
    <w:p>
      <w:pPr>
        <w:spacing w:after="0" w:line="92" w:lineRule="exact"/>
        <w:rPr>
          <w:rFonts w:ascii="Arial" w:cs="Arial" w:eastAsia="Arial" w:hAnsi="Arial"/>
          <w:sz w:val="18"/>
          <w:szCs w:val="18"/>
          <w:color w:val="auto"/>
        </w:rPr>
      </w:pPr>
    </w:p>
    <w:p>
      <w:pPr>
        <w:ind w:left="1080" w:hanging="424"/>
        <w:spacing w:after="0" w:line="25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Scale and Leadership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powerful cloud platform, anchored by the extensive infrastructure, is able to deliver secure,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flexible cloud services. With our industry-leading cloud infrastructure, we have achieved strong operating leverage and economies of scale. Our cloud platform is able to coordinate and aggregate diverse customer and application demand patterns and therefore improve the utilization of computing, storage, and network resources. As a result, we have established strong brand recognition which in turn reinforces our leading position.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Strategically Selected Verticals with High Growth</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Leveraging our industry vision and precise judgments, we have strategically expanded our footprints into selected and fast-growing verticals as first-movers and have established a leading market position through relentless execution. Following such strategy, we have achieved superior gross billing growth at a CAGR of 115.5% from 2015 to 2019, as compared to a CAGR of 61.7% for China’s public cloud market during the same period, according to Frost &amp; Sullivan.</w:t>
      </w:r>
    </w:p>
    <w:p>
      <w:pPr>
        <w:spacing w:after="0" w:line="18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We entered into specific verticals at different stages during our business development and achieved significant success. The verticals we strategically entered into include, but not limited to:</w:t>
      </w:r>
    </w:p>
    <w:p>
      <w:pPr>
        <w:spacing w:after="0" w:line="76" w:lineRule="exact"/>
        <w:rPr>
          <w:sz w:val="20"/>
          <w:szCs w:val="20"/>
          <w:color w:val="auto"/>
        </w:rPr>
      </w:pPr>
    </w:p>
    <w:p>
      <w:pPr>
        <w:ind w:left="1080" w:right="20" w:hanging="424"/>
        <w:spacing w:after="0" w:line="271"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Game. </w:t>
      </w:r>
      <w:r>
        <w:rPr>
          <w:rFonts w:ascii="Arial" w:cs="Arial" w:eastAsia="Arial" w:hAnsi="Arial"/>
          <w:sz w:val="17"/>
          <w:szCs w:val="17"/>
          <w:color w:val="auto"/>
        </w:rPr>
        <w:t>We started to offer game cloud solutions in 2014, when the mobile game market was set to grow exponentially. We have developed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full-stack platform for game companies to incubate, test and operate their games in cloud environments. With our game cloud solutions, our customers are able to provide a seamless experience and direct playability for gamers across all devices from all over the globe. Game cloud solutions enable enterprises to develop advanced and unique games with better in-game user experience, less response time, as well as lower operational and maintenance costs. As of December 31, 2019, we have provided game cloud solutions to leading game companies in China such as Giant Network, Perfect World, Seasun Games and Ourpalm. According to Frost &amp; Sullivan, the cloud market for game in China increased at a CAGR of 52.0% from RMB1.4 billion in 2014 to RMB11.5 billion in 2019, and is expected to continue the high growth from 2019 to 2024 at a CAGR of 36.8%.</w:t>
      </w:r>
    </w:p>
    <w:p>
      <w:pPr>
        <w:spacing w:after="0" w:line="83"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Video. </w:t>
      </w:r>
      <w:r>
        <w:rPr>
          <w:rFonts w:ascii="Arial" w:cs="Arial" w:eastAsia="Arial" w:hAnsi="Arial"/>
          <w:sz w:val="16"/>
          <w:szCs w:val="16"/>
          <w:color w:val="auto"/>
        </w:rPr>
        <w:t>We started to offer video cloud solutions in 2016, right before the explosive growth of the video industry in China. Our holistic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AI-empowered video cloud solutions serve both on-demand video and live streaming companies. We are among the first cloud companies providing cloud solutions to companies engaged in video business and have amassed a high-profile customer base including ByteDance, iQIYI and Bilibili. According to Frost &amp; Sullivan, the cloud market for video in China increased at a CAGR of 69.0% from</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RMB3.8 billion in 2016 to RMB18.5 billion in 2019, and is expected to continue the high growth from 2019 to 2024 at a CAGR of 37.9%.</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55"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service. </w:t>
      </w:r>
      <w:r>
        <w:rPr>
          <w:rFonts w:ascii="Arial" w:cs="Arial" w:eastAsia="Arial" w:hAnsi="Arial"/>
          <w:sz w:val="18"/>
          <w:szCs w:val="18"/>
          <w:color w:val="auto"/>
        </w:rPr>
        <w:t>We started to offer financial service cloud solutions in 2018 as we saw huge cloud demand in the financial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sector. We have pioneered the private implementation of one-stop end-to-end public cloud solutions, which could effectively address the pain points faced by financial institutions amid the regulatory requirements and digital transformation. We have successfully deployed flagship projects for leading institutions such as China Construction Bank and Huatai Securities. According to Frost &amp; Sullivan, the cloud market for banking, financial services and insurance in China is expected to increase at a CAGR of 28.1% from RMB30.3 billion in 2019 to RMB104.6 billion in 2024.</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Superior Enterprise Service Capabilities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have inherited the “enterprise service DNA” from Kingsoft Group, the widely trusted leading software franchise in China, and are devoted to serving enterprise customers and empowering them with cloud technologies. We have benefited from Kingsoft Group’s over 30 years of experience in providing enterprise service. With our customer-centric service philosophy, we strive to provide an exceptional experience to them. As a result, our brand has received broad recognition in China.</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value each customer and provide best-in-class customer services and support covering their entire life-cycle. For example, for each enterprise cloud project, we provide dedicated services to customers with our in-depth industry insights across initiation, implementation and post-delivery stages. At initiation stage, our specialized industry team analyzes deep into customer business scenarios and designs tailored solutions. During the implementation process, we offer customers seamless cloud migration services. After delivery, we have regular client reviews to constantly improve our services. In particular for our Premium Customers, we also have a 24x7 technical support team who can respond to customer inquiries within 90 seconds.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Customer Conversion Capabilities and Go-to-market Efficiencies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adopt a premium-customer strategy. We seek to serve leading enterprises in selected verticals in order to establish strong sector presence more efficiently. By completing lighthouse projects with industry-leading customers, we are able to demonstrate our enterprise service and technology capabilities, which in turn attracts other participants in such verticals to our platform. The total number of our Premium Customers increased from 113 in 2017 to 154 in 2018, and further to 243 in 2019.</w:t>
      </w:r>
    </w:p>
    <w:p>
      <w:pPr>
        <w:spacing w:after="0" w:line="79"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dedicated to maintaining a continuous and long-term service coverage for our customers. Such service model enhances the engagement with our customers, enabling us to understand their needs in a timely manner and identify new business opportunities. As a result, we have fostered a loyal customer base and achieved improving unit economics. In 2018 and 2019, our net dollar retention rate of Public Cloud Service Premium Customers was 161% and 155%, respectively.</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Moreover, our customers tend to procure more products and solutions as our offerings are constantly upgraded and extended along customer’s life-cycle. Our premium customer focus and cross-selling initiatives have significantly contributed to our go-to-market efficiencies. The average revenues per Premium Customer increased from RMB10.3 million in 2017 to RMB13.7 million in 2018, and further increased to RMB15.9 million in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Cutting-edge Technologies and Prominent Research and Development Capabilities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stay at the forefront of cloud technology development and have built prominent research and development capabilities. Therefore, we are able to maintain our technology leadership and upgrade our cloud solutions continuously.</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established a complete portfolio of IaaS and PaaS products leveraging on our proprietary cutting-edge technologies. During the seven years of operating our public cloud, we have built a highly effective, reliable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and stable operation and security system, gained strong capabilities in managing supply chain and delivering resource, and formed a system of access, migration, delivery and service for customers in different levels, enabling us to provide our customers with one-stop and satisfactory cloud services.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made cutting-edge technological innovations and introduced industry-pioneering products and services:</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2014, we have launched our cloud host with solid state drives, achieving the fastest I/O throughput in China at that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2015, we were the first cloud service provider to provide cloud physical hosts in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2016, we were the first cloud service provider to develop and provide full-stack Virtual Private Cloud products in China;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2017, we have launched our Kingsoft Deep Learning platform, one of the first commercialized AI cloud PaaS platforms in China;</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2019, we have launched our industry-leading edge computing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Kingsoft Standard Storage Service offers exabyte-level storage with high queries per second per single bucket;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provide an enterprise-level on-premise cloud product, Galaxy Stack, which has a high security feature in addition to the advantages of public cloud.</w:t>
      </w:r>
    </w:p>
    <w:p>
      <w:pPr>
        <w:spacing w:after="0" w:line="170"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We benefit from our strong and expanding research and development talent pool and continuous investment in research and development, enabling us to establish high entry barriers. As of December 31, 2019, our research and development team consisted of 1,150 engineers, researchers, programmers and computer and data scientists, accounting for 62% of our total employees. Among our research and development personnel, approximately 26% of them hold a master degree or above. Our research and development expenses increased by 10.3% from RMB399.2 million in 2017 to RMB440.5 million in 2018, and further increased by 35.1% to RMB595.2 million (US$85.5 million) in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Visionary Management Team and Strong Synergies with Our Strategic Shareholders</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As one of the first generation cloud companies in China, our visionary management team with entrepreneurial spirit has been leading us since our establishment, achieving rapid and continued growth of our business. Combining solid technology background with in-depth understanding of industry verticals, together with a strong commitment to our company, our management team is relentlessly pursuing innovative solutions to bring greater value to customers. Mr. Yulin Wang, our director and chief executive officer, has over 18 years of internet industry and management experiences.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also enjoy strong synergies with our strategic shareholders, including Kingsoft Group and Xiaomi. We have jointly promoted cloud-based office solutions with Kingsoft Group. We are also able to leverage the sales network of Kingsoft Group through cross-referrals. We cooperate with Xiaomi, which has over 280 ecosystem participants, and other ecosystem players to develop and promote advanced solutions such as our AIoT solutions. Moreover, we share technology insights with our strategic shareholders. For example, we are jointly developing edge-computing applications with Xiaomi.</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9"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key elements of our growth strategy include the followings, which we believe would empower us to further achieve superior growth and strengthen our market position: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Strengthen Our Market Position in Strategically Selected Verticals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continue to capitalize our strategically focused fast-growing verticals through retaining existing customers and attracting new customers. We plan to further enhance our relationship with existing customers by expanding our product offerings to create cross-selling opportunities. In addition, we seek to increase penetration within our strategically selected verticals by enhancing our sales and marketing efforts to further grow our customer base. Moreover, we intend to offer customers more tailor-made applications covering their entire life-cycle to further strengthen customer stickiness and increase our wallet share in existing customers.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into New Verticals and Grow Our Customer Base</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intend to expand our solution offerings to cover more verticals with strong growth potential. We will focus on capturing the massive demand from traditional enterprises and public service organizations in the next growth phase of China’s cloud market. Leveraging our proven record of capturing opportunities of fast-growing verticals, we also plan to enter into, and expand our presence in, emerging verticals, such as IoT, AI and healthcare. Meanwhile, we will continue to adopt our premium-customer strategy to cover and anchor industry leaders in such new verticals.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 to Invest in Infrastructure and Technology</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Infrastructure is fundamental to our cloud platform. Therefore, we plan to continue to invest in our extensive infrastructure in order to deliver higher-quality cloud services and enhance the economies of scale. As a technology-driven cloud company, we aim to increase our research and development efforts to strengthen our technology capabilities. We also aim to further expand our talent pool of top-notch engineering specialists as well as industry vertical experts.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 on Scale Advantages and Improve Operational Efficiency</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been benefiting from economies of scale and we will continue to improve operational efficiency to further unlock economies of scale. In this regard, we plan to optimize the deployment of our computing, storage and network resources and to further improve the utilization of our infrastructure.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Our Strategic Partner Ecosystem</w:t>
      </w:r>
    </w:p>
    <w:p>
      <w:pPr>
        <w:spacing w:after="0" w:line="11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We value the cooperation with our strategic partners and seek to further enhance our strategic partner ecosystem. For example, we plan to further explore emerging market opportunities by partnering with Xiaomi and other IoT enterprises to create synergies in the AIoT ecosystem. We also plan to cooperate with leading software companies to develop industry-specific SaaS solutions with the application of our IaaS and PaaS products. In addition, we aim to enhance our ecosystem by expanding our strategic alliances with companies with expertise in big data and AI.</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Selectively Pursue International Expansion</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see great potentials in expanding our business and promoting our products and solutions globally. We intend to explore additional market opportunities through facilitating the overseas business development and expansion of our strategic partners and customers. In particular, we will focus on “Belt and Road” countries, where the cloud markets are less saturated and present more attractive opportunities.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 and Solutions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dedicated to providing safe, reliable, stable and high-quality cloud services to our customers. Leveraging our top-notch infrastructure resources and years of technology accumulation, we currently offer a comprehensive suite of cutting-edge cloud products and well-architected industry-specific solutions across public cloud, enterprise cloud and AIoT cloud services. The following chart sets forth our key product and solution portfolio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144780</wp:posOffset>
            </wp:positionV>
            <wp:extent cx="4937760" cy="22713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3776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public cloud products primarily cover computing, storage and delivery, and our enterprise cloud products primarily consist of Galaxy Stack, KingStack and KBaaS. Leveraging our superior enterprise serving capabilities as well as our deep understanding of our customers’ various demands, we provide innovative integrated cloud solutions consisting of a selected suite of our products specifically designed to address the different needs of our customers across various industry verticals. We believe our industry-specific solutions are able to unleash the full potential of our infrastructure resources and will be of more value to our customers. As of the date of this prospectus, we have designed over 120 industry-specific cloud solutions covering a wide spectrum of industry verticals.</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Leveraging our industry vision and precise judgment, we saw increased growth prospects in selected verticals, such as games, video and financial services. We have strategically expanded our footprints into such fast-growing verticals as first-movers and have established a leading market position through relentless execution. As we managed to establish leading market positions and serve the industry leaders in our strategic verticals, we have been able to consistently achieve superior growth.</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For public cloud services, we charge customers based on utilization and duration. We also offer credit terms and prepaid subscription packages over a fixed subscription period. For enterprise cloud services, we charge customers for cloud solutions on a project basis. Payment terms for initial project deployment and delivery range from one to six months.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revenues breakdown by type of cloud services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For the 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4960" w:type="dxa"/>
            <w:vAlign w:val="bottom"/>
          </w:tcPr>
          <w:p>
            <w:pPr>
              <w:spacing w:after="0"/>
              <w:rPr>
                <w:sz w:val="10"/>
                <w:szCs w:val="10"/>
                <w:color w:val="auto"/>
              </w:rPr>
            </w:pPr>
          </w:p>
        </w:tc>
        <w:tc>
          <w:tcPr>
            <w:tcW w:w="10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6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RMB</w:t>
            </w:r>
          </w:p>
        </w:tc>
        <w:tc>
          <w:tcPr>
            <w:tcW w:w="9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US$</w:t>
            </w:r>
          </w:p>
        </w:tc>
        <w:tc>
          <w:tcPr>
            <w:tcW w:w="56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thousands, except for percentages)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Public cloud services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1,202,485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2,110,513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3,458,843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496,832</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87.4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Enterprise cloud services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15,271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94,369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486,308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69,854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18,211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13,290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11,202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1,609</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1,235,967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2,218,172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3,956,353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568,295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r>
      <w:tr>
        <w:trPr>
          <w:trHeight w:val="20"/>
        </w:trPr>
        <w:tc>
          <w:tcPr>
            <w:tcW w:w="4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Cloud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Products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offer on-demand public cloud products to our customers, primarily consisting of cloud computing, storage and delivery. The following table sets forth the gross billings breakdown for our public cloud services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left="338"/>
              <w:spacing w:after="0"/>
              <w:rPr>
                <w:sz w:val="20"/>
                <w:szCs w:val="20"/>
                <w:color w:val="auto"/>
              </w:rPr>
            </w:pPr>
            <w:r>
              <w:rPr>
                <w:rFonts w:ascii="Arial" w:cs="Arial" w:eastAsia="Arial" w:hAnsi="Arial"/>
                <w:sz w:val="14"/>
                <w:szCs w:val="14"/>
                <w:b w:val="1"/>
                <w:bCs w:val="1"/>
                <w:color w:val="auto"/>
                <w:w w:val="93"/>
              </w:rPr>
              <w:t>For the 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5820" w:type="dxa"/>
            <w:vAlign w:val="bottom"/>
          </w:tcPr>
          <w:p>
            <w:pPr>
              <w:spacing w:after="0"/>
              <w:rPr>
                <w:sz w:val="10"/>
                <w:szCs w:val="10"/>
                <w:color w:val="auto"/>
              </w:rPr>
            </w:pPr>
          </w:p>
        </w:tc>
        <w:tc>
          <w:tcPr>
            <w:tcW w:w="10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2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RMB</w:t>
            </w:r>
          </w:p>
        </w:tc>
        <w:tc>
          <w:tcPr>
            <w:tcW w:w="5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RMB</w:t>
            </w:r>
          </w:p>
        </w:tc>
        <w:tc>
          <w:tcPr>
            <w:tcW w:w="56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5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90"/>
              </w:rPr>
              <w:t>(in thousands, except for percentages)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Computing</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356,092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663,428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1,017,515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Storage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219,676</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289,416</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298,314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Delivery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628,510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1,160,698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2,137,355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w:t>
            </w: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gross billings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1,204,278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2,113,542</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3,453,184</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Computing</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Our basic cloud computing products provide on-demand high-performance computing resources over the Internet, offering availability, agility, scalability and flexibility. In addition to basic cloud computing products, we also offer cloud network, database, security and big data and AI products.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Basic Cloud Computing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basic cloud computing products primarily include:</w:t>
      </w:r>
    </w:p>
    <w:p>
      <w:pPr>
        <w:spacing w:after="0" w:line="131" w:lineRule="exact"/>
        <w:rPr>
          <w:sz w:val="20"/>
          <w:szCs w:val="20"/>
          <w:color w:val="auto"/>
        </w:rPr>
      </w:pPr>
    </w:p>
    <w:p>
      <w:pPr>
        <w:ind w:left="1080" w:right="200" w:hanging="424"/>
        <w:spacing w:after="0" w:line="27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Kingsoft Elastic Compute (“KEC”): KEC provides flexible and scalable computing capacity, enabling developers to easily perform large scale computing and deployment in the required server environment. Cloud servers can be deployed at any time on-demand to improve operation and maintenance efficiency. For users with high demands for on-premise resource allocation, security and compliance, we also offer Kingsoft Dedicated Cloud (“KDC”) to provide an exclusive virtual resource pool.</w:t>
      </w:r>
    </w:p>
    <w:p>
      <w:pPr>
        <w:spacing w:after="0" w:line="7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Elastic Physical Compute (“EPC”): EPC provides exclusive physical servers with excellent performance and native cloud network function support. It helps users quickly build and expand application services with high performance requirements. Users can easily manage the EPC server’s network configuration, storage configuration and operation system interface.</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Kingsoft Edge Node Computing (“KENC”): KENC is a distributed edge computing resource pool. It helps users reduce access delay, save costs, and enables integration of more industry-specific applications.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Cloud Network</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cloud network products provide cloud-enabled or cloud-based network resources and services, offering reliable and secure network access and connections, to help users optimize resource allocation. Our key cloud network products include:</w:t>
      </w:r>
    </w:p>
    <w:p>
      <w:pPr>
        <w:spacing w:after="0" w:line="76" w:lineRule="exact"/>
        <w:rPr>
          <w:sz w:val="20"/>
          <w:szCs w:val="20"/>
          <w:color w:val="auto"/>
        </w:rPr>
      </w:pPr>
    </w:p>
    <w:p>
      <w:pPr>
        <w:ind w:left="1080" w:right="400" w:hanging="424"/>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Server Load Balancer (“SLB”): SLB is a network service that distributes traffic to multiple cloud servers within a computing cluster. Traffic distribution can quickly improve the external service capability of the application system. SLB hides the actual service port, enhances the security of the internal system and improves the availability of the application system by eliminating single point service failures.</w:t>
      </w:r>
    </w:p>
    <w:p>
      <w:pPr>
        <w:spacing w:after="0" w:line="92"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Elastic IP (“EIP”): EIP is an IP address associated with the user account, which can be bound to any cloud server, cloud physical host or load balancer of the user. With EIP, users can quickly re-map an address to another cloud server, cloud physical host, or load balancer in their accounts to shield instance failures.</w:t>
      </w:r>
    </w:p>
    <w:p>
      <w:pPr>
        <w:spacing w:after="0" w:line="89" w:lineRule="exact"/>
        <w:rPr>
          <w:rFonts w:ascii="Arial" w:cs="Arial" w:eastAsia="Arial" w:hAnsi="Arial"/>
          <w:sz w:val="18"/>
          <w:szCs w:val="18"/>
          <w:color w:val="auto"/>
        </w:rPr>
      </w:pPr>
    </w:p>
    <w:p>
      <w:pPr>
        <w:jc w:val="both"/>
        <w:ind w:left="1080" w:right="100" w:hanging="424"/>
        <w:spacing w:after="0" w:line="31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Virtual Private Cloud (“VPC”): VPC helps users build a customized, logically isolated and proprietary network. Users can use a dedicated line or VPN connection to build a hybrid cloud network with VPC and their existing data centers. All cloud resources can be connected to VPC network, which also allows users to establish and manage security policies and network access control policies.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Cloud Database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a full stack database product portfolio, including relational databases, distributed databases and NoSQL databases, which are open-source and used to accommodate a wide variety of data models. We provide second-level failover capability, low latency cross-cloud synchronization, multi-region disaster recovery capability, and lossless data reliability support capability for important application scenarios such as Internet, financial services and public service. Our key cloud database products include:</w:t>
      </w:r>
    </w:p>
    <w:p>
      <w:pPr>
        <w:spacing w:after="0" w:line="92" w:lineRule="exact"/>
        <w:rPr>
          <w:sz w:val="20"/>
          <w:szCs w:val="20"/>
          <w:color w:val="auto"/>
        </w:rPr>
      </w:pPr>
    </w:p>
    <w:p>
      <w:pPr>
        <w:ind w:left="108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Kingsoft Relational Database Service (“KRDS”): KRDS is a stable, reliable and flexible online relational database that be used at any time. It has multiple security protection features and optimized performance monitoring system, and provides professional database backup, recovery and optimization features.</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Kingsoft Distributed Relational Database Service (“KDRDS”): KDRDS is a distributed relational database. It effectively enables smooth database expansion and provides functions such as read-write splitting and smooth upscaling. KDRDS is flexible, concise and efficient, and stable for large-scale data operation scenarios.</w:t>
      </w:r>
    </w:p>
    <w:p>
      <w:pPr>
        <w:spacing w:after="0" w:line="89"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Remote Dictionary Server (“Redis”): Kingsoft database for Redis provides out-of-the-box, stable, and reliable online cache and key-value storage service. It supports active/standby hot backup and provides database services such as automatic disaster recovery failover, instance monitoring, and online capacity expansion.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Security</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provide users with a full range of high quality cloud security products to effectively address cloud service abuse issues and provide users with secure, stable and reliable cloud services. Our key cloud security products include:</w:t>
      </w:r>
    </w:p>
    <w:p>
      <w:pPr>
        <w:spacing w:after="0" w:line="76" w:lineRule="exact"/>
        <w:rPr>
          <w:sz w:val="20"/>
          <w:szCs w:val="20"/>
          <w:color w:val="auto"/>
        </w:rPr>
      </w:pPr>
    </w:p>
    <w:p>
      <w:pPr>
        <w:ind w:left="1080" w:right="3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Kingsoft Advanced Defense (“KAD”): KAD is a managed Distributed Denial of Service (DDoS) protection service that safeguards our users’ applications running on our cloud from attack.</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Kingsoft Host Security (“KHS”): KHS ensures all-round host security for cloud server and EPC, and are able to quickly identify security problems, monitor security status and comply with security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Kingsoft Web Application Firewall (“KWAF”): KWAF is a firewall for web applications, ensuring security and reliability of users’ websites. Users can seamlessly deploy KWAF without altering any system structure.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Big Data and AI</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have a comprehensive stack of big data products and compatibilities. All products are empowered by providing elastic scaling and seamless access to cloud storage. We also provide an interactive query engine for users to easily organize and analyze data on the cloud, which is an important step in utilizing data lake. In response to industry-wide developments in the research on computer vision, automatic speech recognition and natural language processing, we have built the underlying technologies that underpin big data and artificial intelligence platforms. Our key big data and AI products include:</w:t>
      </w:r>
    </w:p>
    <w:p>
      <w:pPr>
        <w:spacing w:after="0" w:line="93" w:lineRule="exact"/>
        <w:rPr>
          <w:sz w:val="20"/>
          <w:szCs w:val="20"/>
          <w:color w:val="auto"/>
        </w:rPr>
      </w:pPr>
    </w:p>
    <w:p>
      <w:pPr>
        <w:ind w:left="1080" w:right="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Kingsoft MapReduce (“KMR”): KMR is a cloud big data platform allowing users to process vast amounts of data quickly and cost-effectively at scale. KMR gives users the engine and elasticity to run large-scale analysis at a fraction of the cost of traditional on-premise clusters.</w:t>
      </w:r>
    </w:p>
    <w:p>
      <w:pPr>
        <w:spacing w:after="0" w:line="89"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Kingsoft DataCloud (“DataCloud”): Based on a cutting-edge data processing framework, DataCloud provides one-stop cloud-based data services, including data collection, integration, processing, management and analysis. DataCloud can be deployed on-premise to enhance control and security. With the help of DataCloud, users can manage and process ultra-large-scale structured and unstructured data, build data-lake architecture, and create middle-end data platform for enterprise data.</w:t>
      </w:r>
    </w:p>
    <w:p>
      <w:pPr>
        <w:spacing w:after="0" w:line="76" w:lineRule="exact"/>
        <w:rPr>
          <w:rFonts w:ascii="Arial" w:cs="Arial" w:eastAsia="Arial" w:hAnsi="Arial"/>
          <w:sz w:val="17"/>
          <w:szCs w:val="17"/>
          <w:color w:val="auto"/>
        </w:rPr>
      </w:pPr>
    </w:p>
    <w:p>
      <w:pPr>
        <w:ind w:left="1080" w:right="26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Kingsoft Deep Learning (“KDL”): KDL is a deep learning platform which supports various deep learning frameworks and is able to streamline the algorithm training and model inference. KDL can be used in scenarios such as image analysis, image recognition, video recognition and speech recognition. According to Frost &amp; Sullivan, KDL is one of the first commercialized AI cloud PaaS platforms in China.</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Storage</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have developed different storage products for various application scenarios. Our cloud storage products provide cost-effective digitalized data storage infrastructure with high security, which can be deployed off-premise or on-premise. Our key cloud storage products include:</w:t>
      </w:r>
    </w:p>
    <w:p>
      <w:pPr>
        <w:spacing w:after="0" w:line="29" w:lineRule="exact"/>
        <w:rPr>
          <w:sz w:val="20"/>
          <w:szCs w:val="20"/>
          <w:color w:val="auto"/>
        </w:rPr>
      </w:pPr>
    </w:p>
    <w:p>
      <w:pPr>
        <w:ind w:left="1080" w:right="220" w:hanging="424"/>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Kingsoft Standard Storage Service (“KS3”): KS3 is a massive, low-cost, secure, and highly reliable distributed cloud storage product to address users’ pain points such as storage expansion, data security, and distributed access. KS3 offers exabyte-level storage with high queries per second per single bucket. Users can conveniently store and retrieve various data files such as pictures, audio, video and text, etc.</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Elastic Block Storage (“EBS”): EBS is a block-level data storage service provided for cloud server instances that can be connected to any running KEC instance in the same data center. EBS features high availability, reliability, flexibility and ease of use. It also supports advanced features such as snapshots and mirroring.</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Kingsoft Cloud Network Attached Storage (“KNAS”): KNAS is a file storage service for KEC, EPC and container services. With standard file access protocols, users do not need to modify existing applications. NAS offers users a distributed file system with unlimited capacity, performance scaling, single namespace, multi-party sharing, high reliability and availability.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Delivery</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Cloud delivery products have evolved from simple acceleration tool for one-way static content to complex application and streaming delivery carrier, enabling an interactive and immersive user experience. Our comprehensive end-to-end cloud delivery solutions allow customers to build their applications on our cloud platform and utilize additional value-added services such as large scale storage, streaming encode and decode, and AI solutions, offered by us to further enhance their business operations.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large-scale, high-concurrency, low-latency, secure and reliable cloud delivery services help our customers enhance their users’ experience. With 5G deployment and advancement of edge computing, we continue to upgrade our cloud delivery network with more connected nodes and reiterate the advantages of our cloud delivery products.</w:t>
      </w:r>
    </w:p>
    <w:p>
      <w:pPr>
        <w:spacing w:after="0" w:line="18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Today, streaming content represents a significant portion of the internet traffic, and is a major application scenario of our cloud delivery products. Streaming content captures a large share of users’ time spent as it becomes the key distribution medium for various industry verticals, such as entertainment, e-commerce, education, travel and advertising. Leveraging the relationship we built with our clients through our cloud delivery products, we have the natural advantage to cross-sell other cloud products such as computing, storage and AI products to increase our wallet share.</w:t>
      </w:r>
    </w:p>
    <w:p>
      <w:pPr>
        <w:spacing w:after="0" w:line="63" w:lineRule="exact"/>
        <w:rPr>
          <w:sz w:val="20"/>
          <w:szCs w:val="20"/>
          <w:color w:val="auto"/>
        </w:rPr>
      </w:pPr>
    </w:p>
    <w:p>
      <w:pPr>
        <w:ind w:left="1080" w:right="20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Kingsoft Cloud Delivery Network (“KCDN”): KCDN is a distributed network consisting of server clusters of edge nodes covering different regions, which distributes user content to edge nodes, effectively resolves the congestion of Internet network, and improves the response speed of users to visit the websites and the availability of the websites.</w:t>
      </w:r>
    </w:p>
    <w:p>
      <w:pPr>
        <w:spacing w:after="0" w:line="89"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Kingsoft Image Enhancement (“KIE”): KIE is an AI-based image enhancement product, which is able to recover and enhance image details by deep learning algorithms. It can also enhance resolution and output high-quality images.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Kingsoft Smart High Definition (“KSHD”): KSHD integrates various computer vision and video coding technologies to substantially improve the quality of experience. Deep learning based denoise and enhance algorithms are used to reduce compression artifacts as well as enhance details. Meanwhile, KSHD is capable of analyzing video by way of classification and quality assessment, so as to improve the coding efficiency of video codec.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Cloud Solutions</w:t>
      </w:r>
    </w:p>
    <w:p>
      <w:pPr>
        <w:spacing w:after="0" w:line="117"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The internet industry has undergone a seismic transition from on-premise IT devices deployment to cloud-based solutions. Our public cloud solutions have covered various verticals, including, among others, game, video, AI, e-commerce, education and mobile internet.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Game Cloud Solutions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started to offer game cloud solutions in 2014, when the mobile game market was set to grow exponentially. We have developed a full-stack platform for game companies to incubate, test and operate their games in cloud environments. With our game cloud solutions, our customers are able to provide a seamless experience and direct playability for gamers across all devices globally. Game cloud solutions enable enterprises to develop advanced and unique games with better in-game user experience, much lower response time, as well as lower operational and maintenance costs.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game cloud solutions primarily consist of three categories, namely architecture solutions, management solutions and operation solutions. Architecture solutions focus on addressing the users’ needs for computing and storage capabilities. Based on the features of different game genres, we offer customized architecture solutions. Management solutions help game companies to efficiently manage the games, covering game updates, maintenance and security. Operation solutions help users to operate and promote games and deliver better experiences to gamers. As of December 31, 2019, we have provided game cloud solutions to leading game companies in China such as Giant Network, Perfect World, Seasun Games and Ourpalm. The following diagram illustrates the architecture of our game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139065</wp:posOffset>
            </wp:positionV>
            <wp:extent cx="5203190" cy="3308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0319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right="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 concurrency: Our game cloud solutions can effectively reduce the system requirements and pressure for game servers through large-scale and simultaneous cloud computation, which in turn allows for a large number of concurrent players.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Low latency: Developed upon our extensive network infrastructure across the world at large scale, we are able to satisfy game companies’ demands for low latency and enable them to deliver high-speed game experiences.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Security: Our game cloud solutions offer various security protections against isolated incidents and security failures to ensure player experience is not affected and to maintain high-availability at all times.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Failure recovery: By integrating high-quality EBC, Elastic IP and SLB products, our game cloud solutions enable game companies to easily recover from failures in application or underlying layers within seconds.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Disaster recovery: Our game cloud solutions provide multipath BGP and cross-region elastic deployment, eliminating operation risks from failures in any single data center.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640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8970" cy="21640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Seasun Games</w:t>
      </w:r>
    </w:p>
    <w:p>
      <w:pPr>
        <w:spacing w:after="0" w:line="117" w:lineRule="exact"/>
        <w:rPr>
          <w:sz w:val="20"/>
          <w:szCs w:val="20"/>
          <w:color w:val="auto"/>
        </w:rPr>
      </w:pPr>
    </w:p>
    <w:p>
      <w:pPr>
        <w:ind w:left="240" w:right="80" w:firstLine="431"/>
        <w:spacing w:after="0" w:line="259" w:lineRule="auto"/>
        <w:rPr>
          <w:sz w:val="20"/>
          <w:szCs w:val="20"/>
          <w:color w:val="auto"/>
        </w:rPr>
      </w:pPr>
      <w:r>
        <w:rPr>
          <w:rFonts w:ascii="Arial" w:cs="Arial" w:eastAsia="Arial" w:hAnsi="Arial"/>
          <w:sz w:val="18"/>
          <w:szCs w:val="18"/>
          <w:color w:val="auto"/>
        </w:rPr>
        <w:t>We provided high-quality game cloud solutions to Seasun Games to help them deliver smooth and rich game experiences. For example, leveraging our multi-line and large BGP (“Border Gateway Protocol”) bandwidth capabilities, we enabled Seasun Games to constantly deliver smooth game experience across regions for players. We also empowered Seasun Games with advanced high-frequency multicore CPUs with an ultra-large computing cluster, supporting real-time interaction of multiple players online.</w:t>
      </w:r>
    </w:p>
    <w:p>
      <w:pPr>
        <w:spacing w:after="0" w:line="187" w:lineRule="exact"/>
        <w:rPr>
          <w:sz w:val="20"/>
          <w:szCs w:val="20"/>
          <w:color w:val="auto"/>
        </w:rPr>
      </w:pPr>
    </w:p>
    <w:p>
      <w:pPr>
        <w:ind w:left="240" w:right="120" w:firstLine="431"/>
        <w:spacing w:after="0" w:line="259" w:lineRule="auto"/>
        <w:rPr>
          <w:sz w:val="20"/>
          <w:szCs w:val="20"/>
          <w:color w:val="auto"/>
        </w:rPr>
      </w:pPr>
      <w:r>
        <w:rPr>
          <w:rFonts w:ascii="Arial" w:cs="Arial" w:eastAsia="Arial" w:hAnsi="Arial"/>
          <w:sz w:val="18"/>
          <w:szCs w:val="18"/>
          <w:color w:val="auto"/>
        </w:rPr>
        <w:t>Meanwhile, the large DDoS cleaning capability provides security protection for the system. For example, Seasun Games has experienced large scale DDoS attacks lasting for a month, with peak attack traffic up to 935Gbps. Our security experts worked closely with Seasun Games to develop various strategies to defend multi-vector DDoS attacks. Our DDoS cleaning capability has enabled Seasun Games to quickly respond and react to different types of attacks and guaranteed continued operations.</w:t>
      </w:r>
    </w:p>
    <w:p>
      <w:pPr>
        <w:spacing w:after="0" w:line="187" w:lineRule="exact"/>
        <w:rPr>
          <w:sz w:val="20"/>
          <w:szCs w:val="20"/>
          <w:color w:val="auto"/>
        </w:rPr>
      </w:pPr>
    </w:p>
    <w:p>
      <w:pPr>
        <w:ind w:left="240" w:right="80" w:firstLine="431"/>
        <w:spacing w:after="0" w:line="263" w:lineRule="auto"/>
        <w:rPr>
          <w:sz w:val="20"/>
          <w:szCs w:val="20"/>
          <w:color w:val="auto"/>
        </w:rPr>
      </w:pPr>
      <w:r>
        <w:rPr>
          <w:rFonts w:ascii="Arial" w:cs="Arial" w:eastAsia="Arial" w:hAnsi="Arial"/>
          <w:sz w:val="18"/>
          <w:szCs w:val="18"/>
          <w:color w:val="auto"/>
        </w:rPr>
        <w:t>Moreover, we help Seasun Games reduce operational and maintenance expenses and prevents business risks caused by sudden workload surges by optimizing resource allocations. Our solutions also provide ideal routing options to our customers through utilization of BGP bandwidth and cross-region elastic deployment, shortening the average failure recovery time.</w:t>
      </w:r>
    </w:p>
    <w:p>
      <w:pPr>
        <w:spacing w:after="0" w:line="200" w:lineRule="exact"/>
        <w:rPr>
          <w:sz w:val="20"/>
          <w:szCs w:val="20"/>
          <w:color w:val="auto"/>
        </w:rPr>
      </w:pPr>
    </w:p>
    <w:p>
      <w:pPr>
        <w:spacing w:after="0" w:line="24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Video Cloud Solutions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started to offer video cloud solutions in 2016, prior to the explosive growth of the video industry in China. Our full stack end-to end video cloud solutions offer various state-of-the-art deep learning algorithms, including cloud trans-coding, image enhancement, smart high definition, content auditing, dark image enhancement and portrait restoration. Our holistic AI-empowered video cloud solutions serve both on-demand video and live streaming companies, offering a high-capacity and elastic cloud delivery network built on our industry leading containerized edge computing platform. To meet the large scale and high quality cloud delivery requirements of these companies, our video cloud solutions combine core technologies such as AI-empowered video processing algorithms and multi-link optimization to provide enhanced cloud delivery services beyond traditional content delivery services. For on-demand videos, we offer video upload, distributed encoding, media resource management and on-demand delivery. For live streaming, we offer delivery acceleration, real-time encoding, live recording and storage. Our video cloud solutions can be accessed through a management system or API/SDK.</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We are among the first cloud companies providing cloud solutions to companies engaged in video business and have amassed a high-profile customer base including ByteDance, iQIYI and Bilibili. The following diagram illustrates the architecture of our video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104775</wp:posOffset>
            </wp:positionV>
            <wp:extent cx="5212080" cy="29146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20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 speed: Our video cloud solutions provide quick and uninterrupted video streaming and archiving experience.</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Stability: Our video cloud solutions offer high stability and ensure performance. The distributed network eliminates incidents and disruptions, which can effectively lower packet loss rate.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Security: Our video cloud solutions are able to maximize data security by configuring authentication settings for content.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 definition: Our video cloud solutions provide optimized encoding and decoding solutions that allow 4k-8k ultra high definition video transmission through the internet.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Our AI-based automatic content screener ensures compliance with relevant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244475</wp:posOffset>
            </wp:positionV>
            <wp:extent cx="6998970" cy="904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ByteDance</w:t>
      </w:r>
    </w:p>
    <w:p>
      <w:pPr>
        <w:spacing w:after="0" w:line="117" w:lineRule="exact"/>
        <w:rPr>
          <w:sz w:val="20"/>
          <w:szCs w:val="20"/>
          <w:color w:val="auto"/>
        </w:rPr>
      </w:pPr>
    </w:p>
    <w:p>
      <w:pPr>
        <w:ind w:left="240" w:right="280" w:firstLine="431"/>
        <w:spacing w:after="0" w:line="259" w:lineRule="auto"/>
        <w:rPr>
          <w:sz w:val="20"/>
          <w:szCs w:val="20"/>
          <w:color w:val="auto"/>
        </w:rPr>
      </w:pPr>
      <w:r>
        <w:rPr>
          <w:rFonts w:ascii="Arial" w:cs="Arial" w:eastAsia="Arial" w:hAnsi="Arial"/>
          <w:sz w:val="18"/>
          <w:szCs w:val="18"/>
          <w:color w:val="auto"/>
        </w:rPr>
        <w:t>We provide ByteDance’s Douyin, Toutiao and Xigua Video with safe and reliable video cloud solutions to help them offer high-speed on-demand video services to their users. Our comprehensive cloud products help them reduce access latency and improve availability. Moreover, our advanced technologies enable ByteDance to effectively enhance content protection and increase cost efficiency when providing high-quality video services.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AI Cloud Solutions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For companies in the AI industry, our AI cloud solutions can support hyper-scale data processing and storage. Based on our KDL product, our AI cloud solutions facilitate cost-effective AI training and modeling processes, and provide easily scalable development environment for our customers.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Solutions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public cloud solutions also cover various other industries. Our e-commerce cloud solutions, equipped with big data analytics capabilities, enable our customers to rapidly roll out their e-commerce platforms and effectively manage their resources. Our education cloud solutions provide quality services for customers in the education sector to accelerate education modernization, promoting education equality and improving the quality of education. For example, we provide computing, delivery and other public cloud services to 17EdTech, and our prompt expansion of underlying resources satisfied its demands to ensure high-quality and reliable services during the COVID-19 outbreak in early 2020. In addition, we also offer mobile internet cloud solutions designed for the mobile internet industry in general.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Enterprise Cloud Services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to public cloud services, we also offer enterprise-grade cloud products and solutions primarily for traditional enterprises and public service organizations.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Products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Traditional enterprises and public service organizations existed before the internet emerged. As such, they are more likely to deploy on-premise or a hybrid of on- and off-premise cloud products. Due to their complicated operation structure and process, they generally have higher demand for compatibility, reliability, privacy and security in cloud products. We offer secure enterprise cloud products with high control and customization available from dedicated cloud resources. With increasingly complex business structures and massive data accumulated from daily operations, traditional enterprises and public service organizations require hyper-scale computing, big data and AI technology as part of their cloud solutions.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enterprise cloud products primarily include our Galaxy Stack, KingStack and Kingsoft Blockchains as a Service (“KBaaS”), among others.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Galaxy Stack</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are dedicated to helping enterprises improve their IT capabilities to better support business development. However, traditional enterprises often have strict data sovereignty, regulatory compliance and other requirements, and a pure public cloud cannot fully meet their demands. Our proprietary Galaxy Stack essentially allows customers to deploy a public cloud architecture within their internal IT infrastructure, so that they can have the same experience as public cloud services in the interior, while fulfilling business compliance and retaining control. Galaxy Stack employs a distributed architecture to create an open, unified and reliable cloud environment for enterprise-grade customers.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jc w:val="both"/>
        <w:ind w:left="1080" w:right="18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Scalability at large scale: Galaxy Stack enables large-scale physical node deployment, massive tenant management and customer service capabilities, which strongly support customers’ massive business operations. Customers can easily adjust the physical node deployment based on their real-time demands.</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Security: Privatized deployment meets the requirements of enterprises for high-grade information security protection, data security and business continuity.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Autonomous control: Galaxy Stack supports customers’ autonomous control operation and maintenance.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KingStack</w:t>
      </w:r>
    </w:p>
    <w:p>
      <w:pPr>
        <w:spacing w:after="0" w:line="117"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We provide privately deployed KingStack cloud platform for enterprise-grade customers. Tailored to our customers’ needs, we deliver a proprietary, controllable, reliable, compatible, unified and trustworthy cloud platform, accelerating the digitalization process of our customers’ businesses.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Compatibility: Built on cloud architecture, KingStack is compatible with a wide spectrum of hardware.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Security: KingStack has obtained various authoritative security certifications. Computing resources are physically located on-premise. KingStack also offers one-on-one tailored security solutions.</w:t>
      </w:r>
    </w:p>
    <w:p>
      <w:pPr>
        <w:spacing w:after="0" w:line="75"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Easy deployment: KingStack utilizes an automated deployment technique to facilitate the deployment process. Moreover, KingStack also features automated post-deployment monitoring to ensure the sustainability and continuity of customers’ operations.</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Flexible allocation: KingStack enables customers to efficiently manage and allocate cloud resources based on their actual demands, and to quickly adapt to diverse operation scenarios.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KBaaS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offer easy-to-use KBaaS to help developers perform blockchain construction and operation in a visualized interface, significantly lowering development thresholds and improving efficiency.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Easy deployment: KBaaS enables customers to easily configure and build a blockchain network.</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One-stop management: KBaaS offers one-stop management service of contracts including uploading, editing, compilation, encryption and deployment.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Security: Through multiple encrypted tunnels, our algorithms ensure business data security and isolation.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Enterprise Cloud Solutions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Digitalization of traditional enterprises and public service organizations has been fueling the market growth. Traditional enterprises and public service organizations are embracing digital transformation and tap into the agility, flexibility and scalability of the cloud. Our enterprise cloud solutions primarily consist of financial service, public service, healthcare and other solutions.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59" w:right="5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Financial Service Cloud Solutions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started to offer financial service cloud solutions in 2018 as we see the huge demands for cloud in the financial service sector. We have pioneered the private implementation of one-stop end-to-end public cloud solutions, which could effectively address the pain points faced by financial institutions amid the regulatory requirements, digital transformation and business innovation. Our financial service cloud solutions primarily consist of four types of solutions, including architecture, cloud native, value chain and intelligence cloud solutions. We have successfully deployed flagship projects for leading institutions such as China Construction Bank and Huatai Securities. The following diagram illustrates the architecture of our financial service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148590</wp:posOffset>
            </wp:positionV>
            <wp:extent cx="5203190" cy="28803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0319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right="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Digital transformation: Our customized financial service architecture solutions, by providing high-performance cloud computing service at lower costs, enable financial institutions to achieve digital transformation and migrate to cloud.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Cloud native benefits: Our financial service cloud native solutions enable financial institutions to enjoy various benefits brought by cloud technologies, including high security, reliability, availability and flexibility.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Value-chain connection: By connecting the entire value chain in finance vertical, our financial service value chain solutions help customers to establish ecosystems and achieve synergies.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Business innovation: Our intelligent financial service solutions equip financial institutions with big data analytics and AI capabilities, enabling them to easily and efficiently realize business innovations.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4782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8970" cy="1478280"/>
                    </a:xfrm>
                    <a:prstGeom prst="rect">
                      <a:avLst/>
                    </a:prstGeom>
                    <a:noFill/>
                  </pic:spPr>
                </pic:pic>
              </a:graphicData>
            </a:graphic>
          </wp:anchor>
        </w:drawing>
      </w:r>
    </w:p>
    <w:p>
      <w:pPr>
        <w:spacing w:after="0" w:line="343"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China Construction Bank</w:t>
      </w:r>
    </w:p>
    <w:p>
      <w:pPr>
        <w:spacing w:after="0" w:line="117" w:lineRule="exact"/>
        <w:rPr>
          <w:sz w:val="20"/>
          <w:szCs w:val="20"/>
          <w:color w:val="auto"/>
        </w:rPr>
      </w:pPr>
    </w:p>
    <w:p>
      <w:pPr>
        <w:jc w:val="both"/>
        <w:ind w:left="240" w:right="160" w:firstLine="431"/>
        <w:spacing w:after="0" w:line="263" w:lineRule="auto"/>
        <w:rPr>
          <w:sz w:val="20"/>
          <w:szCs w:val="20"/>
          <w:color w:val="auto"/>
        </w:rPr>
      </w:pPr>
      <w:r>
        <w:rPr>
          <w:rFonts w:ascii="Arial" w:cs="Arial" w:eastAsia="Arial" w:hAnsi="Arial"/>
          <w:sz w:val="18"/>
          <w:szCs w:val="18"/>
          <w:color w:val="auto"/>
        </w:rPr>
        <w:t>We provide a customized data cloud platform to China Construction Bank, or CCB, to establish a centralized data management platform. By offering massive data integration, processing and analytics capabilities, we address CCB’s needs for digital transformation. Our platform primarily provides three types of services:</w:t>
      </w:r>
    </w:p>
    <w:p>
      <w:pPr>
        <w:spacing w:after="0" w:line="89" w:lineRule="exact"/>
        <w:rPr>
          <w:sz w:val="20"/>
          <w:szCs w:val="20"/>
          <w:color w:val="auto"/>
        </w:rPr>
      </w:pPr>
    </w:p>
    <w:p>
      <w:pPr>
        <w:ind w:left="1100" w:hanging="431"/>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Resources: we offer various cloud resources such as cloud databases, enabling quick deployment of applications;</w:t>
      </w:r>
    </w:p>
    <w:p>
      <w:pPr>
        <w:spacing w:after="0" w:line="130" w:lineRule="exact"/>
        <w:rPr>
          <w:rFonts w:ascii="Arial" w:cs="Arial" w:eastAsia="Arial" w:hAnsi="Arial"/>
          <w:sz w:val="18"/>
          <w:szCs w:val="18"/>
          <w:color w:val="auto"/>
        </w:rPr>
      </w:pPr>
    </w:p>
    <w:p>
      <w:pPr>
        <w:ind w:left="1100" w:hanging="431"/>
        <w:spacing w:after="0"/>
        <w:tabs>
          <w:tab w:leader="none" w:pos="11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Tools: with our data collection, management and development tools, applications can easily perform data process and development;</w:t>
      </w:r>
    </w:p>
    <w:p>
      <w:pPr>
        <w:spacing w:after="0" w:line="153" w:lineRule="exact"/>
        <w:rPr>
          <w:rFonts w:ascii="Arial" w:cs="Arial" w:eastAsia="Arial" w:hAnsi="Arial"/>
          <w:sz w:val="16"/>
          <w:szCs w:val="16"/>
          <w:color w:val="auto"/>
        </w:rPr>
      </w:pPr>
    </w:p>
    <w:p>
      <w:pPr>
        <w:ind w:left="1100" w:right="820" w:hanging="431"/>
        <w:spacing w:after="0" w:line="277" w:lineRule="auto"/>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Data platform: we provide various cloud-based data products to build a one-stop data analytics platform, realizing centralized management and allocation in complex operation environment.</w:t>
      </w:r>
    </w:p>
    <w:p>
      <w:pPr>
        <w:spacing w:after="0" w:line="3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Service Cloud Solutions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public service cloud solutions are based on the cloud architecture and can be easily and quickly deployed on-premise. These cloud solutions help public service organizations enhance productivity and efficiency. The following diagram illustrates the architecture of our public service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203190" cy="28543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031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right="18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Digitalization: By facilitating cloud migration, we help public service organizations lower their operating costs, run their infrastructure more efficiently and scale elastically, while ensuring stringent privacy and high level of security.</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Intelligent operation: Tailored to the functions of different public service organizations, our cloud platforms provide decision-making support and enable our customers to efficiently and smartly manage their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Data analytics: Featured with big data analytics, we help public service organizations to organize and process their data.</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60"/>
          </w:cols>
          <w:pgMar w:left="320" w:top="459" w:right="6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Healthcare Cloud Solutions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healthcare cloud solutions provide high-performance, reliable, and secure resources and technologies and a full portfolio of applications and services for the medical and healthcare industry. We provide cloud services covering hospital operations, medical supervision, medical insurance payment, medical treatment and eldercare.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AIoT Cloud Services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Launched in 2019, we provide a full stack of AIoT solutions that encompass both cloud platform software and AIoT devices through cooperation with Xiaomi and other third-party device suppliers. Our AIoT products and solutions enable businesses to manage access of personnel, vehicles and other subjects at various physical settings such as commercial complexes, residences and hospitals.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value we bring include:</w:t>
      </w:r>
    </w:p>
    <w:p>
      <w:pPr>
        <w:spacing w:after="0" w:line="13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Scenario-based solutions: Our AIoT solutions are pre-integrated and highly adaptable for different scenarios.</w:t>
      </w:r>
    </w:p>
    <w:p>
      <w:pPr>
        <w:spacing w:after="0" w:line="13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Extended ecosystem: Our AIoT solutions offer an extensive AIoT application ecosystem with pre-integrated modules and devices from leading AIoT vendors, which can also integrate customers’ existing applications like CRM system to achieve overall efficiency improvement.</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Data analytics: Our AIoT solutions provide various data analytics services and a powerful computing core. Through various algorithms, analytical models and multi-type data convergence, our AIoT solutions can mine the specific data which customers need to create value for their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Infrastructure and Technologies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dedicated to providing customers with secure and compliant cloud services and our industry-leading cloud infrastructure and technologies have been the key to our success.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Infrastructure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distributed infrastructure is the foundation of our technology. As of December 31, 2019, we had a data center and CDN node network with more than 73,000 servers throughout China and in six other countries and regions and achieved exabyte-level storage capacity. We purchase servers, network equipment and network resources, and lease data centers from industry-leading suppliers to ensure the reliability and availability of our network infrastructure. Our suppliers primarily include IDC operators, telecommunication operators and server providers in China and overseas. The following map demonstrates the locations of our major data centers and CDN nodes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137795</wp:posOffset>
            </wp:positionV>
            <wp:extent cx="3728720" cy="34975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2872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Cloud Technologies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create and apply cutting-edge technologies to drive our development of products and solutions. Our core technologies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Virtualization</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We have built a complete virtualization technology stack. Technologies like x86 and ARM (advanced reduced instruction set computing machine) virtualization, input/output paravirtualization, high performance storage and network virtualization, GPU (graphics processing unit) virtualization, with critical features such as smooth live migration and live patching are all well supported and applied to our cloud products.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Distributed Storage</w:t>
      </w:r>
    </w:p>
    <w:p>
      <w:pPr>
        <w:spacing w:after="0" w:line="117"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We have developed different storage technologies for various application scenarios, including key-value storage, table storage, object storage, elastic block storage, and file storage, providing high performance storage services with reliability, scalability and availability.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Software Defined Network</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virtualized network architecture, designed on the basis of disaster recovery multi-region construction, supports multi-tenant networks. With petabit-per-second-scale distributed east-west forwarding capabilities and terabit-per-second-scale north-south traffic capabilities, the cloud network provides high-performance interconnect services for computing, storage and various PaaS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Cloud Delivery</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have developed a comprehensive set of cloud delivery systems, including caching system, OTCP (optimized transmission control protocol) stack, user datagram protocol-based transport stack, global traffic scheduling system, high performance domain name system, near-real-time performance analysis system and IPV 4 (internet protocol version 4) and IPV 6 (internet protocol version 6) dual-stack network system.</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Cloud Native</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have built (i) a comprehensive PaaS platform based on Kubernetes, an open-source container-orchestration system, (ii) a microservices platform, and (iii) service mesh solutions to help our customers design and utilize cloud native architecture. All these platforms have been enhanced by our strong network and storage technologies, helping our customers to easily build scalable, reliable, and elastic cloud native applications.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vision and focus on innovation have fueled our growth and enabled us to deliver our products and services. We allocate a substantial portion of our operating expenses to research and development, including upgrading our infrastructure, improving our cloud technology and developing new products and solutions. We incurred RMB399.2 million, RMB440.5 million and RMB595.2 million (US$85.5 million) of research and development expenses in 2017, 2018 and 2019, respectively.</w:t>
      </w:r>
    </w:p>
    <w:p>
      <w:pPr>
        <w:spacing w:after="0" w:line="18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Our leadership in technology is built by our highly innovative and dedicated research and development staff. We had a team of approximately 1,150 engineers, researchers, programmers and computer and data scientists as of December 31, 2019, approximately 26% of whom hold a master’s degree or above. We encourage different points of view to lead us to find inspiration and improve our products and solutions.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primarily focus on providing high-quality enterprise-grade cloud products and solutions to businesses and public service organizations. Our platform has gathered a broad and diverse customer base, which has expanded rapidly since our inception. We generally enter into annual cloud service contracts with our public cloud service customers. For our enterprise cloud service customers, we enter into service contracts on a project basis. As of December 31, 2019, we had 4,244 customers across a wide array of industry verticals, such as game, video, AI, e-commerce, education, financial service, public service and healthcare. The total number of our Premium Customers increased from 113 in 2017 to 154 in 2018, and further to 243 in 2019.</w:t>
      </w:r>
    </w:p>
    <w:p>
      <w:pPr>
        <w:spacing w:after="0" w:line="19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strategically focus on cooperating with industry leaders to complete lighthouse projects to demonstrate our technological capabilities and the advantages of our cloud products and solutions. As a result, we have generated a substantial portion of our revenues from large customers. Our total revenues generated from Premium Customers contributed 93.7%, 95.3% and 97.4% of our total revenues in 2017, 2018 and 2019, respectively.</w:t>
      </w:r>
    </w:p>
    <w:p>
      <w:pPr>
        <w:spacing w:after="0" w:line="14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have generated a highly loyal customer base. Our platform offers a wide spectrum of cloud products and we focus on capturing cross-selling opportunities. As of December 31, 2019, 82.4% of our customers used 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20"/>
          </w:cols>
          <w:pgMar w:left="320" w:top="459" w:right="5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least two of our cloud products. In 2018 and 2019, our net dollar retention rate of Public Cloud Service Premium Customers was 161% and 155%,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209550</wp:posOffset>
            </wp:positionV>
            <wp:extent cx="6998970" cy="6985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8970" cy="698500"/>
                    </a:xfrm>
                    <a:prstGeom prst="rect">
                      <a:avLst/>
                    </a:prstGeom>
                    <a:noFill/>
                  </pic:spPr>
                </pic:pic>
              </a:graphicData>
            </a:graphic>
          </wp:anchor>
        </w:drawing>
      </w:r>
    </w:p>
    <w:p>
      <w:pPr>
        <w:spacing w:after="0" w:line="353"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Case Study: Bilibili</w:t>
      </w:r>
    </w:p>
    <w:p>
      <w:pPr>
        <w:spacing w:after="0" w:line="117" w:lineRule="exact"/>
        <w:rPr>
          <w:sz w:val="20"/>
          <w:szCs w:val="20"/>
          <w:color w:val="auto"/>
        </w:rPr>
      </w:pPr>
    </w:p>
    <w:p>
      <w:pPr>
        <w:jc w:val="both"/>
        <w:ind w:left="240" w:right="320" w:firstLine="431"/>
        <w:spacing w:after="0" w:line="263" w:lineRule="auto"/>
        <w:rPr>
          <w:sz w:val="20"/>
          <w:szCs w:val="20"/>
          <w:color w:val="auto"/>
        </w:rPr>
      </w:pPr>
      <w:r>
        <w:rPr>
          <w:rFonts w:ascii="Arial" w:cs="Arial" w:eastAsia="Arial" w:hAnsi="Arial"/>
          <w:sz w:val="18"/>
          <w:szCs w:val="18"/>
          <w:color w:val="auto"/>
        </w:rPr>
        <w:t>In June 2017, we started to provide cloud services to Bilibili, a leading online entertainment platform for young generations in China. Since then, we have been providing secure and reliable cloud services to Bilibili and enable it to deliver on-demand content to its users. Along with the rapid growth of Bilibili, we have also extended our offerings to constantly meet its demands.</w:t>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inherited the “enterprise service DNA” from Kingsoft Group, the widely trusted leading software franchise in China, and are devoted to serving enterprise customers and empowering them with cloud technologies. We have benefited from Kingsoft Group’s over 30 years of experience in providing enterprise services. With our customer-centric service philosophy, we always prioritize the needs of our customers and strive to provide an exceptional experience to them. As a result, our brand has received broad recognition in China.</w:t>
      </w:r>
    </w:p>
    <w:p>
      <w:pPr>
        <w:spacing w:after="0" w:line="17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We have built an experienced team that is knowledgeable about both technology advancements and pain points faced by participants in relevant industry verticals, allowing us to provide products and solutions that directly address the needs of our customers.</w:t>
      </w:r>
    </w:p>
    <w:p>
      <w:pPr>
        <w:spacing w:after="0" w:line="14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value each customer and provide best-in-class customer services and support covering their entire life-cycle. For example, for each enterprise cloud project, we provide dedicated services to customers with our in-depth industry insights across initiation, implementation and post-delivery stages. At initiation stage, our specialized industry team performs in-depth analysis on customers’ business needs and designs tailored solutions accordingly.</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During the implementation process, we offer customers seamless cloud migration services. After delivery, we have regular client reviews to constantly improve our services. In particular, for our Premium Customers, we also have a 24×7 technical support team who can respond to customer inquiries within 90 seconds.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Marketing and Branding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To promote our cloud products and solutions, we either directly reach out to our customers or cooperate with third-party agents. Direct sales supported by our experienced industry-focused team is our primary sales approach. To promote our cloud products and solutions, particularly when we enter into a new vertical, we cooperate with industry leaders to complete lighthouse projects to demonstrate our technological capabilities and the advantages of our cloud products and solutions. We then leverage such lighthouse projects to develop and offer products and solutions for other customers, thereby further penetrating the vertical. We seek to generate recurring revenues through after-sale services and cross-sell new solutions after we gain insights into customer needs.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established a professional and industry-focused in-house sales team. Our employees have deep knowledge of the industries and customers that they are responsible for. Our in-house sales team works closely with our engineering team to ensure that they can propose and customize the best solutions to address the pain points faced by participants in the relevant industry verticals.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the other hand, for indirect sales, our in-house sales channel department works closely with the sales channel partners and leverages their understanding of end user demands, thereby developing tailored marketing strategies.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40"/>
          </w:cols>
          <w:pgMar w:left="320" w:top="459" w:right="5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To encourage and incentivize our in-house sales team, we have designed a compensation structure that includes both fixed and a performance-based components. We set specific performance targets for each team member. We evaluate such employee’s performance every year and pay out performance-based compensation accordingly.</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addition, we have a marketing team responsible for increasing the awareness of our brand, promoting our new and existing products and services, maintaining our relationships with business partners and managing public relations.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develop and protect our intellectual property portfolio by registering our patents, trademarks, copyrights and domain names. We have also adopted a comprehensive set of internal rules for intellectual property management. These guidelines set the obligations of our employees and create a reporting mechanism in connection with our intellectual property protection. We have entered into standard employee agreements and confidentiality and non-compete agreements with our full-time R&amp;D staffs, which provide that the intellectual property created by them in connection with their employment with us is our intellectual property.</w:t>
      </w:r>
    </w:p>
    <w:p>
      <w:pPr>
        <w:spacing w:after="0" w:line="188" w:lineRule="exact"/>
        <w:rPr>
          <w:sz w:val="20"/>
          <w:szCs w:val="20"/>
          <w:color w:val="auto"/>
        </w:rPr>
      </w:pPr>
    </w:p>
    <w:p>
      <w:pPr>
        <w:ind w:left="120" w:right="120" w:firstLine="440"/>
        <w:spacing w:after="0" w:line="221" w:lineRule="exact"/>
        <w:rPr>
          <w:sz w:val="20"/>
          <w:szCs w:val="20"/>
          <w:color w:val="auto"/>
        </w:rPr>
      </w:pPr>
      <w:r>
        <w:rPr>
          <w:rFonts w:ascii="Arial" w:cs="Arial" w:eastAsia="Arial" w:hAnsi="Arial"/>
          <w:sz w:val="16"/>
          <w:szCs w:val="16"/>
          <w:color w:val="auto"/>
        </w:rPr>
        <w:t>As of the date of this prospectus, we have registered 100 patents, 167 trademarks, 192 copyrights, and 117 domain names in China and overseas. We have obtained the license from Kingsoft to use its “</w:t>
      </w:r>
      <w:r>
        <w:rPr>
          <w:rFonts w:ascii="SimSun" w:cs="SimSun" w:eastAsia="SimSun" w:hAnsi="SimSun"/>
          <w:sz w:val="14"/>
          <w:szCs w:val="14"/>
          <w:color w:val="auto"/>
        </w:rPr>
        <w:t>金山云</w:t>
      </w:r>
      <w:r>
        <w:rPr>
          <w:rFonts w:ascii="Arial" w:cs="Arial" w:eastAsia="Arial" w:hAnsi="Arial"/>
          <w:sz w:val="16"/>
          <w:szCs w:val="16"/>
          <w:color w:val="auto"/>
        </w:rPr>
        <w:t>” and “Kingsoft Cloud” trademarks. We have also obtained the license from Kingsoft Group to use some of its registered patents during their terms of registration. We intend to vigorously protect our technology and proprietary rights, but there can be no assurance that our efforts will be successful. Even if our efforts are successful, we may incur significant costs in defending our rights. See “Risk Factors – Risks Relating to Our Business and Industry – We could incur substantial costs in protecting or defending our intellectual property rights, and any failure to protect our intellectual property could adversely affect our business, results of operations and financial condition.”</w:t>
      </w:r>
    </w:p>
    <w:p>
      <w:pPr>
        <w:spacing w:after="0" w:line="20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 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substantial and may adversely affect our results of operations. See “Risk Factors – Risks Relating to Our Business and Industry – We may in the future be subject to legal proceedings and litigation, including intellectual property disputes, which are costly and may subject us to significant liability and increased costs of doing business. Our business may be adversely affected if it is alleged or determined that our technology infringes the intellectual property rights of others.”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Protection</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When providing our solutions, we may have access to certain data of our customers and of end users of our customers. We have designed strict data protection policies to ensure that the collection, use, storage, transmission and dissemination of such data are in compliance with applicable laws and with prevalent industry practice.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established an all-round information system in compliance with all data security requirements. Our information system applies safeguards, including double-firewalls, antivirus walls and web application firewalls. We encrypt data to enhance data security. Our database can only be accessed through computers designated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authorized use. These computers cannot be connected to the internet, and no data can be exported to an external device. Only authorized staff can access these computers for designated purposes. We also have clear and strict authorization and authentication procedures and policies in place. Our employees only have access to data which is directly relevant and necessary for their job responsibilities and for limited purposes and are required to verify authorization upon every access attempt.</w:t>
      </w:r>
    </w:p>
    <w:p>
      <w:pPr>
        <w:spacing w:after="0" w:line="18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As of the date of this prospectus, we have not received any claim from any third party against us on the ground of infringement of such party’s right to data protection as provided by the PRC General Principles of Civil Law or any applicable laws and regulations in other jurisdictions, and we have not experienced any material data loss or breach incidents.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had 1,193, 1,365 and 1,841 full-time employees as of December 31, 2017, 2018 and 2019, respectively. As of December 31, 2019, most of our employees were located in China, and the rest were located overseas.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breakdowns of our employees by functions as of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Number of</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Function</w:t>
            </w:r>
          </w:p>
        </w:tc>
        <w:tc>
          <w:tcPr>
            <w:tcW w:w="5500" w:type="dxa"/>
            <w:vAlign w:val="bottom"/>
            <w:vMerge w:val="restart"/>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Full-time</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3"/>
        </w:trPr>
        <w:tc>
          <w:tcPr>
            <w:tcW w:w="560" w:type="dxa"/>
            <w:vAlign w:val="bottom"/>
            <w:tcBorders>
              <w:bottom w:val="single" w:sz="8" w:color="auto"/>
            </w:tcBorders>
            <w:vMerge w:val="continue"/>
          </w:tcPr>
          <w:p>
            <w:pPr>
              <w:spacing w:after="0"/>
              <w:rPr>
                <w:sz w:val="13"/>
                <w:szCs w:val="13"/>
                <w:color w:val="auto"/>
              </w:rPr>
            </w:pPr>
          </w:p>
        </w:tc>
        <w:tc>
          <w:tcPr>
            <w:tcW w:w="5500" w:type="dxa"/>
            <w:vAlign w:val="bottom"/>
            <w:vMerge w:val="continue"/>
          </w:tcPr>
          <w:p>
            <w:pPr>
              <w:spacing w:after="0"/>
              <w:rPr>
                <w:sz w:val="13"/>
                <w:szCs w:val="13"/>
                <w:color w:val="auto"/>
              </w:rPr>
            </w:pPr>
          </w:p>
        </w:tc>
        <w:tc>
          <w:tcPr>
            <w:tcW w:w="14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89"/>
              </w:rPr>
              <w:t>Employees</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1,150</w:t>
            </w:r>
          </w:p>
        </w:tc>
        <w:tc>
          <w:tcPr>
            <w:tcW w:w="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administration</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Customer support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1,841</w:t>
            </w:r>
          </w:p>
        </w:tc>
        <w:tc>
          <w:tcPr>
            <w:tcW w:w="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We enter into standard employment contracts with our full-time employees. In addition to salaries and benefits, we provide performance-based bonuses for our full-time employees. In addition to our full-time employees, we used 117 contract workers dispatched to us by staffing agencies as of December 31, 2019. These contract workers are primarily responsible for customer service, logistics and delivery services.</w:t>
      </w:r>
    </w:p>
    <w:p>
      <w:pPr>
        <w:spacing w:after="0" w:line="16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Under PRC law, we participate in various employee social security plans that are organized by municipal and provincial governments for our PRC-based full-time employees, including pension, unemployment insurance, childbirth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we maintain a good working relationship with our employees, and we have not experienced any material labor disputes in the past.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 of our employees are represented by labor unions.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current principal executive offices are located at Kingsoft Tower, No. 33 Xiao Ying West Road Haidian District, Beijing, China. We lease offices in Beijing and certain other cities where we operate with an aggregate of approximately 14,500 square meters as of December 31, 2019. These facilities currently accommodate our management headquarters, as well as most of our sales and marketing, research and development, and general and administrative activities.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do not maintain any liability insurance or property insurance policies covering our equipment and facilities for injuries, death or losses due to fire, earthquake, flood or any other disaster. Consistent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customary industry practice in China, we do not maintain business interruption insurance, nor do we maintain key-man life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business is characterized by rapid changes as well as new and disruptive technologies. We face competition in every major aspect of our business. In particular, we mainly compete with other cloud service providers in China.</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believe that we are well-positioned to effectively compete against our competitors and capture market opportunities. However, our competitors may have more capital, longer operating histories, broader brand recognition and larger customer bases. For discussion of risks relating to market competition, see “Risk Factors – Risks Relating to Our Business and Industry – The market in which we participate is competitive, and if we do not compete effectively, our business, results of operations and financial condition could be harmed.”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are currently not involved in any legal or administrative proceedings that may have a material adverse impact on our business, financial position or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Foreign Investment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establishment, operation and management of companies in China are mainly governed by the PRC Company Law, as most recently amended in 2018, which applies to both PRC domestic companies and foreign-invested companies. On March 15, 2019, the National People’s Congress approved the Foreign Investment Law, and on December 26, 2019, the State Council promulgated the Implementing Rules of the PRC Foreign Investment Law, or the Implementing Rules, to further clarify and elaborate the relevant provisions of the Foreign Investment Law. The Foreign Investment Law and the Implementing Rules both took effect on January 1, 2020 and replaced three major previous laws on foreign investments in China, namely, the Sino-foreign Equity Joint Venture Law, the Sino-foreign Cooperative Joint Venture Law and the Wholly Foreign-owned Enterprise Law, together with their respective implementing rules.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Implementing Rules introduce a see-through principle and further provide that foreign-invested enterprises that invest in the PRC shall also be governed by the Foreign Investment Law and the Implementing Rules.</w:t>
      </w:r>
    </w:p>
    <w:p>
      <w:pPr>
        <w:spacing w:after="0" w:line="17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Foreign Investment Law and the Implementing Rules provide that a system of pre-entry national treatment and negative list shall be applied for the administration of foreign investment, where “pre-entry national treatment” means that the treatment given to foreign investors and their investments at market access stage is no less favorable than that given to domestic investors and their investments, and “negative list” means the special administrative measures for foreign investment’s access to specific fields or industries, which will be proposed by the competent investment department of the State Council in conjunction with the competent commerce department of the State Council and other relevant departments, and be reported to the State Council for promulgation, or be promulgated by the competent investment department or competent commerce department of the State Council after being reported to the State Council for approval. Foreign investment beyond the negative list will be granted national treatment. Foreign investors shall not invest in the prohibited fields as specified in the negative list, and foreign investors who invest in the restricted fields shall comply with the special requirements on the shareholding, senior management personnel, etc. In the meantime, relevant competent government departments will formulate a catalogue of industries for which foreign investments are encouraged according to the needs for national economic and social development, to list the specific industries, fields and regions in which foreign investors are encouraged and guided to invest. The current industry entry clearance requirements governing investment activities in the PRC by foreign investors are set out in two categories, namely the Special Entry Management Measures (Negative List) for the Access of Foreign Investment (2019 version), or the 2019 Negative List, and the Encouraged Industry Catalogue for Foreign Investment (2019 version), or the 2019 Encouraged Industry Catalogue, both were promulgated by the National Development and Reform Commission and the Ministry of Commerce, or the MOFCOM and took effect on July 30, 2019. Industries not listed in these two categories are generally deemed “permitted” for foreign investment unless specifically restricted by other PRC laws. Industries such as value-added telecommunication business, which we are engaged in, are generally restricted to foreign investment pursuant to the 2019 Negative List, and we conduct business operations that are restricted to foreign investment through our variable interest entities.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According to the Implementing Rules, the registration of foreign-invested enterprises shall be handled by the State Administration for Market Regulation, or the SAMR or its authorized local counterparts. Where a foreign investor invests in an industry or field subject to licensing in accordance with laws, the relevant competent government department responsible for granting such license shall review the license application of the foreign investor in accordance with the same conditions and procedures applicable to PRC domestic investors unless it is stipulated otherwise by the laws and administrative regulations, and the competent government department shall not impose discriminatory requirements on the foreign investor in terms of licensing conditions, application materials, reviewing steps and deadlines, etc. However, the relevant competent government departments shall not grant the license or permit enterprise registration if the foreign investor intends to invest in the industries or fields as specified in the negative list without satisfying the relevant requirements. In the event that a foreign investor invests in a prohibited field or industry as specified in the negative list, the relevant competent government department shall order the foreign investor to stop the investment activities, dispose of the shares or assets or take other necessary measures within a specified time limit, and restore to the status prior to the occurrence of the aforesaid investment, and the illegal gains, if any, shall be confiscated. If the investment activities of a foreign investor violate the special administration measures for access restrictions on foreign investments as stipulated in the negative list, the relevant competent government department shall order the investor to make corrections within the specified time limit and take necessary measures to meet the relevant requirements. If the foreign investor fails to make corrections within the specified time limit, the aforesaid provisions regarding the circumstance that a foreign investor invests in the prohibited field or industry shall apply.</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Pursuant to the Foreign Investment Law and the Implementing Rules, and the Information Reporting Measures for Foreign Investment jointly promulgated by the MOFCOM and the SAMR, which took effect on January 1, 2020, a foreign investment information reporting system shall be established and foreign investors or foreign-invested enterprises shall report investment information to competent commerce departments of the government through the enterprise registration system and the enterprise credit information publicity system, and the administration for market regulation shall forward the above investment information to the competent commerce departments in a timely manner. In addition, the MOFCOM shall set up a foreign investment information reporting system to receive and handle the investment information and inter-departmentally shared information forwarded by the administration for market regulation in a timely manner. The foreign investors or foreign-invested enterprises shall report the investment information by submitting initial reports, change reports, deregistration reports and annual reports, etc.</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Furthermore, the Foreign Investment Law provides that foreign-invested enterprises established according to the previous laws regulating foreign investment prior to the implementation of the Foreign Investment Law may maintain their structure and corporate governance within five years after the implementation of the Foreign Investment Law. The Implementing Rules further clarify that such foreign-invested enterprises established prior to the implementation of the Foreign Investment Law may either adjust their organizational forms or organizational structures pursuant to the Company Law or the Partnership Law, or maintain their current structure and corporate governance within five years upon the implementation of the Foreign Investment Law. Since January 1, 2025, if a foreign-invested enterprise fails to adjust its organizational form or organizational structure in accordance with the laws and go through the applicable registrations for changes, the relevant administration for market regulation shall not handle other registrations for such foreign-invested enterprise and shall publicize the relevant circumstances. However, after the organizational forms or organizational structures of a foreign-invested enterprise have been adjusted, the original parties to the Sino-foreign equity or cooperative joint ventures may continue to process such matters as the equity interest transfer, the distribution of income or surplus assets as agreed by the parties in the relevant contracts.</w:t>
      </w:r>
    </w:p>
    <w:p>
      <w:pPr>
        <w:spacing w:after="0" w:line="18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addition, the Foreign Investment Law and the Implementing Rules also specify other protective rules and principles for foreign investors and their investments in the PRC, including, among others, that local governments shall abide by their commitments to the foreign investors; except for special circumstances, in which case statutory procedures shall be followed and fair and reasonable compensation shall be made in a</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timely manner, expropriation or requisition of the investment of foreign investors is prohibited; mandatory technology transfer is prohibited, etc.</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Value-Added Telecommunications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Value-Added Telecommunications Services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Telecommunications Regulations of the PRC, or the Telecommunications Regulations, promulgated on September 25, 2000 by the State Council of the PRC and most recently amended in February 2016, are the primary regulations governing telecommunications services. Under the Telecommunications Regulations, a telecommunications service provider is required to procure operating licenses from MIIT or its provincial counterparts, prior to the commencement of its operations, or else such operator might be subject to sanctions including corrective orders and warnings from the competent administration authority, fines and confiscation of illegal gains. In case of serious violations, the operator’s websites may be ordered to be closed.</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Telecommunications Regulations categorize all telecommunication services in China as either basic telecommunications services or value-added telecommunications services, and value-added telecommunications services are defined as telecommunications and information services provided through public network infrastructures. The Administrative Measures for Telecommunications Business Operating License promulgated by the MIIT in July 2017 set forth more specific provisions regarding the types of licenses required to operate value-added telecommunications services, the qualifications and procedures for obtaining the licenses and the administration and supervision of these licenses.</w:t>
      </w:r>
    </w:p>
    <w:p>
      <w:pPr>
        <w:spacing w:after="0" w:line="16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 catalogue was issued as an appendix to the Telecommunications Regulations, or the Telecommunications Services Catalogue, which was most recently amended by the MIIT in June 2019. Pursuant to the Telecommunications Services Catalogue, the first category of value-added telecommunications services are divided into four subcategories including the “Internet Data Centre Services” (the “IDC Service”), the “Content Delivery Network Services” (the “CDN Service”), the “Domestic Internet Protocol Virtual Private Network Services” and the “Internet Access Services” (the “ISP Service”). The second category of value-added telecommunications services includes without limitation the online data process and transaction process service and information services.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the MIIT promulgated the Circular on Further Regulating Market Access of IDC Service and ISP Service in 2012, or the Circular 552, which further stipulates the detailed requirements on capital, personnel, facility and equipment for conducting IDC and ISP Services business. On January 17, 2017, the MIIT further promulgated the Notice on the Internet Access Service, which emphasizes the requirements as specified under Circular 552 and prohibits business operation without licenses, business operation beyond permitted territorial scope and business scope set forth on the licenses and “multi-level sublease” in the market with respect to IDC Service, ISP Service and CDN Service. The IDC and ISP enterprises shall not sublease the IP addresses, bandwidth or other network access resources they have obtained from basic telecommunication operators in the PRC to other enterprises for operating businesses of IDC Service, ISP Service or other business. According to the Notice on the Internet Access Service, enterprises engaged in the businesses of IDC, ISP or CDN Services shall conduct comprehensive self-inspection, rectify violations of the relevant regulations in a timely manner to ensure their business operations are in compliance with the applicable laws and regulations and the network facilities and network access resources are used in a compliant manner. The regulatory authorities shall urge enterprises in violation of the relevant regulations to make rectifications in a timely manner and take stern actions in accordance with the laws against the enterprises that refuse to make such rectifications, and such enterprises may fail to pass the annual inspection, may be included in the enterprise list of bad credit record, or the licenses or permits of such enterprises may not be renewed upon expiration and their cooperation with the basic telecommunications operators may be adversely affected under serious circumstances.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Foreign Investment Restriction on Value-Added Telecommunications Services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 to the Administrative Regulations on Foreign-Invested Telecommunications Enterprises, as most recently amended in February 2016, foreign-invested value-added telecommunications enterprises must be in the form of a sino-foreign equity joint venture. The regulations limit the ultimate capital contribution percentage by foreign investor(s) in a foreign-invested value-added telecommunications enterprise to 50% or less other than certain exceptions and require the primary foreign investor in a foreign invested value-added telecommunications enterprise to have a good track record and operational experience in the industry.</w:t>
      </w:r>
    </w:p>
    <w:p>
      <w:pPr>
        <w:spacing w:after="0" w:line="18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2006, the predecessor to the MIIT issued the Circular of the Ministry of Information Industry on Strengthening the Administration of Foreign Investment in Value-added Telecommunications Business, according to which a foreign investor in the telecommunications service industry of China must establish a foreign invested enterprise and apply for a telecommunications businesses operation license. This circular further requires that: (i) PRC domestic telecommunications business enterprises must not lease, transfer or sell a telecommunications businesses operation license to a foreign investor through any form of transaction or provide resources, offices and working places, facilities or other assistance to support the illegal telecommunications services operations of a foreign investor; (ii) value-added telecommunications enterprises or their shareholders must directly own the domain names and trademarks used by such enterprises in their daily operations; (iii) each value-added telecommunications enterprise must have the necessary facilities for its approved business operations and maintain such facilities in the regions covered by its license; and (iv) all providers of value-added telecommunications services are required to maintain network and internet security in accordance with the standards set forth in relevant PRC regulations. If a license holder fails to comply with the requirements in the circular and cure such non-compliance, the MIIT or its local counterparts have the discretion to take measures against such license holder, including revoking its license for value-added telecommunications business.</w:t>
      </w:r>
    </w:p>
    <w:p>
      <w:pPr>
        <w:spacing w:after="0" w:line="172"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On January 12, 2017, the State Council issued the Notice on Several Measures for Expansion of Opening-up Policy and Active Use of Foreign Capital, or the Notice No. 5, which purports to relax restrictions on foreign investment in sectors including services, manufacturing and mining. Specifically, the Notice No. 5 proposes to gradually open up telecommunication, Internet, culture, education and transportation industries to foreign investors. However, there are still substantial uncertainties with respect to the implementing rules and regulations of Notice No. 5.</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Internet Security and Privacy Protection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Decision in Relation to Protection of Internet Security enacted by the Standing Committee of the National People’s Congress of China on December 28, 2000, as amended, provides that, among other things, the following activities conducted through the Internet, if constitutes a criminal act under PRC laws, are subject to criminal punishment: (i) hacking into a computer or system of strategic importance; (ii) intentionally inventing and spreading destructive programs such as computer viruses to attack the computer system and the communications network, thus damaging the computer system and the communications networks; (iii) in violation of State regulations, discontinuing the computer network or the communications service without authorization; (iv) leaking state secrets; (v) spreading false commercial information; or (vi) infringing intellectual property rights through the internet.</w:t>
      </w:r>
    </w:p>
    <w:p>
      <w:pPr>
        <w:spacing w:after="0" w:line="19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Provisions on Technological Measures for Internet Security Protection, or the Internet Security Protection Measures, promulgated on December 13, 2005 by the Ministry of Public Security require internet service providers and organizations that use interconnection implementing technical measures for internet security protection, like technical measures for preventing any matter or act that may endanger network security, e.g., computer viruses, invasion or attacks to or destruction of the network, require all internet access service providers are required to take measures to keep a record of and preserve user registration information. Under these measures, value-added telecommunications services license holders must regularly update information security and content control systems for their websites and must also report any public dissemination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November 7, 2016, the National People’s Congress Standing Committee promulgated the Cybersecurity Law which came into effect on</w:t>
      </w:r>
    </w:p>
    <w:p>
      <w:pPr>
        <w:spacing w:after="0" w:line="23" w:lineRule="exact"/>
        <w:rPr>
          <w:sz w:val="20"/>
          <w:szCs w:val="20"/>
          <w:color w:val="auto"/>
        </w:rPr>
      </w:pPr>
    </w:p>
    <w:p>
      <w:pPr>
        <w:ind w:left="120" w:right="120"/>
        <w:spacing w:after="0" w:line="267" w:lineRule="auto"/>
        <w:rPr>
          <w:sz w:val="20"/>
          <w:szCs w:val="20"/>
          <w:color w:val="auto"/>
        </w:rPr>
      </w:pPr>
      <w:r>
        <w:rPr>
          <w:rFonts w:ascii="Arial" w:cs="Arial" w:eastAsia="Arial" w:hAnsi="Arial"/>
          <w:sz w:val="17"/>
          <w:szCs w:val="17"/>
          <w:color w:val="auto"/>
        </w:rPr>
        <w:t>June 1, 2017 and applies to the construction, operation, maintenance and use of networks as well as the supervision and administration of cybersecurity in China. The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of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Cybersecurity Law may be subject to fines, suspension of their businesses, shutdown of their websites, and revocation of their business licenses.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Pursuant to the Decision on Strengthening the Protection of Online Information, issued by the Standing Committee of the National People’s Congress in 2012, and the Order for the Protection of Telecommunication and Internet User Personal Information, issued by the MIIT in 2013, any collection and use of a user’s personal information must be subject to the consent of the user, be legal, rational and necessary and be limited to specified purposes, methods and scopes. An internet information service provider must also keep such information strictly confidential, and is further prohibited from divulging, tampering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cancelation of filings, closedown of websites or even criminal liabilities.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the Notice of the Supreme People’s Court, the Supreme People’s Procuratorate and the Ministry of Public Security on Legally Punishing Criminal Activities Infringing upon the Personal Information of Citizens, issued in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Patents in the PRC are principally protected under the Patent Law of the PRC. The duration of a patent right is either 10 years or 20 years from the date of application, depending on the type of patent right.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Copyright</w:t>
      </w:r>
    </w:p>
    <w:p>
      <w:pPr>
        <w:spacing w:after="0" w:line="117" w:lineRule="exact"/>
        <w:rPr>
          <w:sz w:val="20"/>
          <w:szCs w:val="20"/>
          <w:color w:val="auto"/>
        </w:rPr>
      </w:pPr>
    </w:p>
    <w:p>
      <w:pPr>
        <w:ind w:left="120" w:right="380" w:firstLine="440"/>
        <w:spacing w:after="0" w:line="275" w:lineRule="auto"/>
        <w:rPr>
          <w:sz w:val="20"/>
          <w:szCs w:val="20"/>
          <w:color w:val="auto"/>
        </w:rPr>
      </w:pPr>
      <w:r>
        <w:rPr>
          <w:rFonts w:ascii="Arial" w:cs="Arial" w:eastAsia="Arial" w:hAnsi="Arial"/>
          <w:sz w:val="17"/>
          <w:szCs w:val="17"/>
          <w:color w:val="auto"/>
        </w:rPr>
        <w:t>Copyright in the PRC, including copyrighted software, is principally protected under the Copyright Law of the PRC and related rules and regulations. Under the Copyright Law, the term of protection for copyrighted software is 50 years. The Regulation on the Protection of the Right to Communicate Works to the Public over Information Networks, as most recently amended on January 30,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Registered trademarks are protected under the Trademark Law of the PRC and related rules and regulations. Trademarks are registered with the State Intellectual Property Office, formerly the Trademark Office of the SAIC. Where registration is sought for a trademark that is identical or similar to another trademark which has already been registered or given preliminary examination and approval for use in the same or similar category of commodities or services, the application for registration of this trademark may be rejected. Trademark registrations are effective for a renewable ten-year period, unless otherwise revoked.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Domain names are protected under the Administrative Measures on Internet Domain Names promulgated by the MIIT on August 24, 2017 and effective as of November 1, 2017. Domain name registrations are handled through domain name service agencies established under the relevant regulations, and applicants become domain name holders upon successful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Employment, Social Insurance and Housing Fund</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Pursuant to the PRC Labor Law and the PRC Labor Contract Law, employers must execute written labor contracts with full-time employees. All employers must comply with local minimum wage standards. Violations of the PRC Labor Contract Law and the PRC Labor Law may result in the imposition of fines and other administrative and criminal liability in the case of serious violations.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according to the PRC Social Insurance Law and the Regulations on the Administration of Housing Funds, employers in China must provide employees with welfare schemes covering pension insurance, unemployment insurance, maternity insurance, work-related injury insurance, and medical insurance and housing funds.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Foreign Exchange and Dividend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Foreign Currency Exchange</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principal regulations governing foreign currency exchange in China are the Foreign Exchange Administration Regulations, most recently amended in 2008. Under PRC foreign exchange regulations, payments of current account items, such as profit distributions, interest payments and trade and service-related foreign exchange transactions, can be made in foreign currencies without prior approval from the State Administration of Foreign Exchange, or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16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2012, SAFE promulgated the Circular of Further Improving and Adjusting Foreign Exchange Administration Policies on Foreign Direct Investment, or Circular 59, which substantially amends and simplifies the current foreign exchange procedure. Pursuant to Circular 59, the opening of various special purpose foreign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exchange accounts, such as pre-establishment expenses accounts, foreign exchange capital accounts and guarantee accounts, the reinvestment of RMB proceeds derived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2013, SAFE specified that the administration by SAFE or its local branches over direct investment by foreign investors in the PRC must be conducted by way of registration and banks must process foreign exchange business relating to the direct investment in the PRC based on the registration information provided by SAFE and its branches. In February 2015, SAFE promulgated the Notice on Further Simplifying and Improving the Administration of the Foreign Exchange Concerning Direct Investment, or SAFE Notice 13. Instead of applying for approvals regarding foreign exchange registrations of foreign direct investment and overseas direct investment from SAFE, entities and individuals may apply for such foreign exchange registrations from qualified banks. The qualified banks, under the supervision of SAFE, may directly review the applications and conduct the registration.</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March 2015, SAFE promulgated the Circular of the SAFE on Reforming the Management Approach regarding the Settlement of Foreign Capital of Foreign-invested Enterprise, or Circular 19, which expands a pilot reform of the administration of the settlement of the foreign exchange capitals of foreign-invested enterprises nationwide. Circular 19 replaced both the Circular of the SAFE on Issues Relating to the Improvement of Business Operations with Respect to the Administration of Foreign Exchange Capital Payment and Settlement of Foreign-invested Enterprises, or Circular 142, and the Circular of the SAFE on Issues concerning the Pilot Reform of the Administrative Approach Regarding the Settlement of the Foreign Exchange Capitals of Foreign-invested Enterprises in Certain Areas, or Circular 36. Circular 19 allows all foreign-invested enterprises established in the PRC to settle their foreign exchange capital on a discretionary basis according to the actual needs of their business operation, provides the procedures for foreign invested companies to use Renminbi converted from foreign currency-denominated capital for equity investments and removes certain other restrictions that had been provided in Circular 142. However, Circular 19 continues to prohibit foreign-invested enterprises from, among other things, using RMB funds converted from their foreign exchange capital for expenditure beyond their business scope and providing entrusted loans or repaying loans between non-financial enterprises. SAFE promulgated the Notice of the State Administration of Foreign Exchange on Reforming and Standardizing the Foreign Exchange Settlement Management Policy of Capital Account, or Circular 16, effective June 2016, which reiterates some of the rules set forth in Circular 19. Circular 16 provides that discretionary foreign exchange settlement applies to foreign exchange capital, foreign debt offering proceeds and remitted foreign listing proceeds, and the corresponding RMB capital converted from foreign exchange may be used to extend loans to related parties or repay inter-company loans (including advances by third parties). However, there are substantial uncertainties with respect to Circular 16’s interpretation and implementation in practice. Circular 19 or Circular 16 may delay or limit us from using the proceeds of offshore offerings to make additional capital contributions to our PRC subsidiaries and any violations of these circulars could result in severe monetary or other penalties.</w:t>
      </w:r>
    </w:p>
    <w:p>
      <w:pPr>
        <w:spacing w:after="0" w:line="19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January 2017, SAFE promulgated the Circular on Further Improving Reform of Foreign Exchange Administration and Optimizing Genuineness and Compliance Verification, or Circular 3, which stipulates several capital control measures with respect to the outbound remittance of profits from domestic entities to offshore entities, including (i) banks must check whether the transaction is genuine by reviewing board resolutions regarding profit distribution, original copies of tax filing records and audited financial statements, and (ii) domestic entities must retain income to account for previous years’ losses before remitting any profits. Moreover, pursuant to Circular 3, domestic entities must explain in detail the sources of capital and how the capital will be used, and provide board resolutions, contracts and other proof as a part of the registration procedure for outbound investment.</w:t>
      </w:r>
    </w:p>
    <w:p>
      <w:pPr>
        <w:spacing w:after="0" w:line="16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On October 23, 2019, SAFE issued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provided that such investments do not violate the effective special entry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management measures for foreign investment (negative list) and the target investment projects are genuine and in compliance with laws. Since Circular 28 was issued only recently, its interpretation and implementation in practice are still subject to substantial uncertainties.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on Dividend Distributions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principal laws, rule and regulations governing dividends distribution by companies in the PRC are the PRC Company Law, which applies to both PRC domestic companies and foreign-invested companies, and the Foreign Investment Law and its implementing rules, which apply to foreign-invested companies. Under these laws, regulations and rules, both domestic companies and foreign-invested companies in the PRC are required to set aside as general reserves at least 10% of their after-tax profit, until the cumulative amount of their reserves reaches 50% of their registered capital. PRC companies are not permitted to distribute any profits until any losses from prior fiscal years have been offset. Profits retained from prior fiscal years may be distributed together with distributable profits from the current fiscal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on Foreign Exchange Registration of Overseas Investment by PRC Residents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2014, SAFE issued the SAFE Circular on Relevant Issues Relating to Domestic Resident’s Investment and Financing and Roundtrip Investment through Special Purpose Vehicles, or SAFE Circular 37, replacing the SAFE Circular on Issues Concerning the Regulation of Foreign Exchange in Equity Finance and Return Investments by Domestic Residents through Offshore Special Purpose Vehicles, or SAFE Circular 75. SAFE Circular 37 regulates foreign exchange matters in relation to the use of special purpose vehicles by PRC residents or entities to seek offshore investment and financing or conduct round trip investment in China. Under SAFE Circular 37, a “special purpose vehicle”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special purpose vehicles, namely, establishing foreign-invested enterprises to obtain ownership, control rights and management rights. SAFE Circular 37 provides that, before making a contribution into a special purpose vehicle, PRC residents or entities are required to complete foreign exchange registration with SAFE or its local branch.</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2015, SAFE promulgated the Notice on Further Simplifying and Improving the Administration of the Foreign Exchange Concerning Direct Investment. This notice has amended SAFE Circular 37 by requiring PRC residents or entities to register with qualified banks rather than SAFE or its local branch in connection with their establishment or control of an offshore entity established for the purpose of overseas investment or financing. PRC residents or entities who had contributed legitimate onshore or offshore interests or assets to special purpose vehicles but had not registered as required before the implementation of the SAFE Circular 37 must register their ownership interests or control in the special purpose vehicles with qualified banks. An amendment to the registration is required if there is a material change with respect to the special purpose vehicle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misrepresentations or failing to disclose the control of the foreign-invested enterprise that is established through round-trip investment, may result in restrictions being imposed on the foreign exchange activities of the relevant foreign-invested enterprise,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Stock Incentive Plans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February 2012, SAFE promulgated the Notice on Foreign Exchange Administration of PRC Residents Participating in Share Incentive Plans of Offshore Listed Companies, or the Stock Option Rules, replacing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previous rules issued by SAFE in March 2007. Under the Stock Option Rules and other relevant rules and regulations, domestic individuals, which means the PRC residents and non-PRC citizens residing in China for a continuous period of not less than one year, subject to a few exceptions, who participate in a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the overseas publicly-listed company or another qualified institution selected by the PRC subsidiary, to conduct the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the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the PRC residents from the sale of shares under the stock incentive plans granted and dividends distributed by the overseas listed companies must be remitted into the bank accounts in the PRC opened by the PRC agents before distribution to such PRC residents. In addition, SAFE Circular 37 provides that PRC residents who participate in a share incentive plan of an overseas unlisted special purpose company may register with SAFE or its local branches before exercising rights.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Related to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Enterprise Income Tax</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the Enterprise Income Tax Law of the PRC, or the EIT Law, which became effective on January 1, 2008 and was subsequently amended on February 24, 2017 and December 29, 2018, and its implementing rules, enterprises are classified as resident enterprises and non-resident enterprises. PRC resident enterprises typically pay an enterprise income tax at the rate of 25% while non-PRC resident enterprises without any branches in the PRC should pay an enterprise income tax in connection with their income from the PRC at the tax rate of 10%. An enterprise established outside of the PRC with its “de facto management bodies” located within the PRC is considered a “resident enterprise,” meaning that it can be treated in a manner similar to a PRC 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8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EIT Law and the implementation rules provide that an income tax rate of 10% should normally be applicable to dividends payable to investors that are “non-resident enterprises,” and gains derived by such investors, which (a) do not have an establishment or place of business in the PRC or (b) have an establishment or place of business in the PRC, but the relevant income is not effectively connected with the establishment or place of business to the extent such dividends and gains are derived from sources within the PRC. Such income tax on the dividends may be reduced pursuant to a tax treaty between China and other jurisdictions. Pursuant to the Arrangement Between the Mainland of China and the Hong Kong Special Administrative Region for the Avoidance of Double Taxation on Income,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upon receiving approval from in-charge tax authority. However, based on the Notice on Certain Issues with Respect to the Enforcement of Dividend Provisions in Tax Treaties issued on February 20, 2009 by the SAT, if the relevant PRC tax authorities determine, in their discretion, that a company benefits from such reduced income tax rate due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 structure or arrangement that is primarily tax-driven, such PRC tax authorities may adjust the preferential tax treatment; and based on the Announcement on Relevant Issues Concerning the “Beneficial Owners” in Tax Treaties issued on February 3, 2018 by the SAT and effective from April 1, 2018, which replaces the Notice on the Interpretation and Recognition of Beneficial Owners in Tax Treaties and the Announcement on the Recognition of Beneficial Owners in Tax Treaties by the SAT, comprehensive analysis based on the stipulated factor therein and actual circumstances shall be adopted when recognizing the “beneficial owner” and agents and designated wire beneficiaries are specifically excluded from being recognized as “beneficial owners.”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Value-added Tax and Business Tax</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Pursuant to applicable PRC tax regulations, any entity or individual conducting business in the service industry is generally required to pay a business tax at the rate of 5% on the revenues generated from providing such services. However, if the services provided are related to technology development and transfer, such business tax may be exempted subject to approval by the relevant tax authorities. Whereas, pursuant to the Provisional Regulations on Value-Added Tax of the PRC and its implementation regulations, unless otherwise specified by relevant laws and regulations, any entity or individual engaged in the sales of goods, provision of processing, repairs and replacement services and importation of goods into China is generally required to pay a value-added tax, or VAT, for revenues generated from sales of products, while qualified input VAT paid on taxable purchase can be offset against such output VAT.</w:t>
      </w:r>
    </w:p>
    <w:p>
      <w:pPr>
        <w:spacing w:after="0" w:line="19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November 2011, the Ministry of Finance and the State Administration of Taxation promulgated the Pilot Plan for Imposition of Value-Added Tax to Replace Business Tax. In March 2016, the Ministry of Finance and the State Administration of Taxation further promulgated the Notice on Fully Promoting the Pilot Plan for Replacing Business Tax by Value-Added Tax, which became effective on May 1, 2016. Pursuant to the pilot plan and relevant notices, VAT is generally imposed in lieu of business tax in the modern service industries, including the VATS, on a nationwide basis. VAT of a rate of 6% applies to revenue derived from the provision of some modern services. Certain small taxpayers under PRC law are subject to reduced value-added tax at a rate of 3%. Unlike business tax, a taxpayer is allowed to offset the qualified input VAT paid on taxable purchases against the output VAT chargeable on the modern services provided.</w:t>
      </w:r>
    </w:p>
    <w:p>
      <w:pPr>
        <w:spacing w:after="0" w:line="17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April 4, 2018, the Ministry of Finance and the State Administration of Taxation issued the Notice on Adjustment of VAT Rates, which came into effect on May 1, 2018. According to the abovementioned notice, the taxable goods previously subject to VAT rates of 17% and 11%, respectively, become subject to lower VAT rates of 16% and 10%, respectively, starting from May 1, 2018. Furthermore, according to the Announcement on Relevant Policies for Deepening Value-added Tax Reform jointly promulgated by the Ministry of Finance, the State Administration of Taxation and the General Administration of Customs, which became effective on April 1, 2019, the taxable goods previously subject to VAT rates of 16% and 10%, respectively, become subject to lower VAT rates of 13% and 9%, respectively, starting from April 1,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M&amp;A Rules and Overseas Listings</w:t>
      </w:r>
    </w:p>
    <w:p>
      <w:pPr>
        <w:spacing w:after="0" w:line="12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On August 8, 2006, six PRC regulatory agencies, including the China Securities Regulatory Commission, or the CSRC, adopted the Regulations on Mergers of Domestic Enterprises by Foreign Investors, or the M&amp;A Rules, which became effective on September 8, 2006 and was amended on June 22, 2009. Foreign investors shall comply with the M&amp;A Rules when they purchase equity interests of a domestic company or subscribe the increased capital of a domestic company, thus changing the nature of the domestic company into a foreign-invested enterprise; or when the foreign investors establish a foreign-invested enterprise in the PRC,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to obtain the approval of the CSRC prior to publicly listing their securities on an overseas stock exchange.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34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Pr>
          <w:p>
            <w:pPr>
              <w:spacing w:after="0"/>
              <w:rPr>
                <w:sz w:val="16"/>
                <w:szCs w:val="16"/>
                <w:color w:val="auto"/>
              </w:rPr>
            </w:pPr>
          </w:p>
        </w:tc>
        <w:tc>
          <w:tcPr>
            <w:tcW w:w="5040" w:type="dxa"/>
            <w:vAlign w:val="bottom"/>
          </w:tcPr>
          <w:p>
            <w:pPr>
              <w:ind w:left="210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Jun Lei</w:t>
            </w:r>
          </w:p>
        </w:tc>
        <w:tc>
          <w:tcPr>
            <w:tcW w:w="346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of the Board of Directors</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Tao Zou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Vice Chairman of the Board of Directors</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Yulin Wang</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Director, Chief Executive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Haijian He</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Shou Zi Chew</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Shouxing Liang</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Wei Song</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Tao Liu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Vice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Yonghong Hu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46</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Kuiguang Niu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41</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Independent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Hang Wang*</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48</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Independent Director appointee</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Mingto Yu*</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Independent Director appointee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40" w:hanging="424"/>
        <w:spacing w:after="0" w:line="253"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of Mr. Hang Wang and Mr. Mingto Yu has accepted appointment as a director, which will be effective immediately upon the SEC’s declaration of effectiveness of our registration statement on Form F-1, of which this prospectus is a part.</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Jun Lei </w:t>
      </w:r>
      <w:r>
        <w:rPr>
          <w:rFonts w:ascii="Arial" w:cs="Arial" w:eastAsia="Arial" w:hAnsi="Arial"/>
          <w:sz w:val="17"/>
          <w:szCs w:val="17"/>
          <w:color w:val="auto"/>
        </w:rPr>
        <w:t>has served as the chairman of the board of directors since April 2015. Mr. Lei is the founder of Xiaomi Corporation (HKEx: 1810) and</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serves as the chairman, the chief executive officer and the executive director at Xiaomi Corporation. He joined Kingsoft Group in 1992 and has held various senior positions in Kingsoft Group, including the chairman of the board since July 2011, non-executive director since August 2008, executive director between July 1998 and August 2008, and the chief executive officer between 1998 and December 2007. From 2011 to 2018, Mr. Lei was the chairman of Cheetah Mobile Inc. (NYSE: CMCM). From 2011 to 2016, Mr. Lei was the chairman of YY Inc. (Nasdaq: YY). Mr. Lei received a bachelor’s degree in computer science in 1991 from Wuhan University.</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Tao Zou </w:t>
      </w:r>
      <w:r>
        <w:rPr>
          <w:rFonts w:ascii="Arial" w:cs="Arial" w:eastAsia="Arial" w:hAnsi="Arial"/>
          <w:sz w:val="18"/>
          <w:szCs w:val="18"/>
          <w:color w:val="auto"/>
        </w:rPr>
        <w:t>has served as our director since December 2016, and as the vice chairman of the board of directors since December 2018. Mr. Zou joined</w:t>
      </w:r>
      <w:r>
        <w:rPr>
          <w:rFonts w:ascii="Arial" w:cs="Arial" w:eastAsia="Arial" w:hAnsi="Arial"/>
          <w:sz w:val="18"/>
          <w:szCs w:val="18"/>
          <w:i w:val="1"/>
          <w:iCs w:val="1"/>
          <w:color w:val="auto"/>
        </w:rPr>
        <w:t xml:space="preserve"> </w:t>
      </w:r>
      <w:r>
        <w:rPr>
          <w:rFonts w:ascii="Arial" w:cs="Arial" w:eastAsia="Arial" w:hAnsi="Arial"/>
          <w:sz w:val="18"/>
          <w:szCs w:val="18"/>
          <w:color w:val="auto"/>
        </w:rPr>
        <w:t>Kingsoft Group in 1998 and currently serves as an executive director and the chief executive officer at Kingsoft Group. Mr. Zou also serves as a director at Cheetah Mobile (NYSE: CMCM), a director at Xunlei Limited (Nasdaq: XNET) and a director of 21Vianet Group, Inc. (Nasdaq: VNET). Mr. Zou received a bachelor’s degree in science from Nankai University in 1997.</w:t>
      </w:r>
    </w:p>
    <w:p>
      <w:pPr>
        <w:spacing w:after="0" w:line="18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 xml:space="preserve">Yulin Wang </w:t>
      </w:r>
      <w:r>
        <w:rPr>
          <w:rFonts w:ascii="Arial" w:cs="Arial" w:eastAsia="Arial" w:hAnsi="Arial"/>
          <w:sz w:val="18"/>
          <w:szCs w:val="18"/>
          <w:color w:val="auto"/>
        </w:rPr>
        <w:t>has served as our chief executive officer since December 2016 and our director since April 2015. Mr. Wang served as our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2012 to 2016. Mr. Wang joined Kingsoft Group in 2012 and served as a senior vice president at Kingsoft Group until 2020. Prior to joining Kingsoft Group, Mr. Wang served as the executive vice president at Phoenix New Media Limited (NYSE: FENG) from 2009 to 2012. Prior to that, Mr. Wang served as the chief operating officer at CNEC Inc. from 2007 to 2008. Mr. Wang was a vice president of A8 Digital Music Holdings Limited (HKEx: 0800) from 2004 to 2007. Mr. Wang received a bachelor’s degree in science from Nankai University in 1998 and an MBA degree from Tsinghua University in 2008.</w:t>
      </w:r>
    </w:p>
    <w:p>
      <w:pPr>
        <w:spacing w:after="0" w:line="19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Haijian He </w:t>
      </w:r>
      <w:r>
        <w:rPr>
          <w:rFonts w:ascii="Arial" w:cs="Arial" w:eastAsia="Arial" w:hAnsi="Arial"/>
          <w:sz w:val="18"/>
          <w:szCs w:val="18"/>
          <w:color w:val="auto"/>
        </w:rPr>
        <w:t>has served as our chief financial officer since January 2020. Mr. He has extensive experience in complex merger and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Prior to joining us in 2020, Mr. He served as an executive director of the TMT (telecommunications, media and technology) group and the mergers and acquisitions group sequentially at Goldman Sachs (Asia) LLC from 2015 to 2020. Mr. He was an associate of the TMT investment banking division at Bank of America Merrill Lynch from 2014 to 2015 in Hong Kong, and was a vice president at Citigroup Global Markets Inc. from 2010 to 2013 in New York. Mr. He received an MBA from University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Chicago in 2014, a master’s degree in electronic engineering from Southeast University in 2006, and a bachelor’s degree in electronic engineering from Southeast University in 2003. Mr. He is also a CFA charter holder.</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 xml:space="preserve">Shou Zi Chew </w:t>
      </w:r>
      <w:r>
        <w:rPr>
          <w:rFonts w:ascii="Arial" w:cs="Arial" w:eastAsia="Arial" w:hAnsi="Arial"/>
          <w:sz w:val="17"/>
          <w:szCs w:val="17"/>
          <w:color w:val="auto"/>
        </w:rPr>
        <w:t>has served as our director since May 2019. Mr. Chew currently serves as the president of international, executive director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at Xiaomi. Prior to joining Xiaomi, Mr. Chew was a partner at DST Investment Management Ltd. from August 2011 to June 2015. Mr. Chew worked at Goldman Sachs International from July 2006 to July 2008. Mr. Chew received a bachelor’s degree in economics from University College London in 2006 and a master’s degree in business administration from Harvard Business School in 2011.</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Shouxing Liang </w:t>
      </w:r>
      <w:r>
        <w:rPr>
          <w:rFonts w:ascii="Arial" w:cs="Arial" w:eastAsia="Arial" w:hAnsi="Arial"/>
          <w:sz w:val="18"/>
          <w:szCs w:val="18"/>
          <w:color w:val="auto"/>
        </w:rPr>
        <w:t>serves as our senior vice president and is responsible for management of our public cloud and overseas strategies.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in 2015, Mr. Liang served as manager of northern China at Qiniu Cloud from 2014 to 2015. Mr. Liang was a senior director of CC Video from 2011 to 2014. Mr. Liang served as a director of industry department at ChinaCache (Nasdaq: CCIH) from 2006 to 2011. Mr. Liang received a bachelor’s degree in computer science from Fuzhou University in 2000.</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 xml:space="preserve">Wei Song </w:t>
      </w:r>
      <w:r>
        <w:rPr>
          <w:rFonts w:ascii="Arial" w:cs="Arial" w:eastAsia="Arial" w:hAnsi="Arial"/>
          <w:sz w:val="18"/>
          <w:szCs w:val="18"/>
          <w:color w:val="auto"/>
        </w:rPr>
        <w:t>serves as our senior vice president and is responsible for management of enterprise cloud services and related technology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in 2013, Mr. Song served as a senior architect at Baidu (Nasdaq: BIDU) from 2010 to 2013. Mr. Song was a specialist of Alibaba (NYSE: BABA) from 2009 to 2010. Mr. Song served as an engineer at Lenovo (HKEx: 0992) from 2004 to 2008. Mr. Song received a master’s degree in computer science from Tiangong University in 2005.</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Tao Liu </w:t>
      </w:r>
      <w:r>
        <w:rPr>
          <w:rFonts w:ascii="Arial" w:cs="Arial" w:eastAsia="Arial" w:hAnsi="Arial"/>
          <w:sz w:val="18"/>
          <w:szCs w:val="18"/>
          <w:color w:val="auto"/>
        </w:rPr>
        <w:t>serves as our vice president and is responsible for research and development. Prior to joining us in 2015, Mr. Liu served as a data center</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 at Baidu (Nasdaq: BIDU) from 2009 to 2015. Mr. Liu received a bachelor’s degree in 2004 and a PhD in 2009 from University of Science and Technology of China.</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Yonghong Hu </w:t>
      </w:r>
      <w:r>
        <w:rPr>
          <w:rFonts w:ascii="Arial" w:cs="Arial" w:eastAsia="Arial" w:hAnsi="Arial"/>
          <w:sz w:val="18"/>
          <w:szCs w:val="18"/>
          <w:color w:val="auto"/>
        </w:rPr>
        <w:t>serves as our senior vice president and is responsible for financial reporting, legal affairs, administrative operation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of our group. Prior to joining us in 2015, Ms. Hu served as the finance director at Phoenix New Media Limited (NYSE: FENG) from 2010 to 2015. Ms. Hu graduated in financial management from Beijing Normal University in 1998.</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Kuiguang Niu </w:t>
      </w:r>
      <w:r>
        <w:rPr>
          <w:rFonts w:ascii="Arial" w:cs="Arial" w:eastAsia="Arial" w:hAnsi="Arial"/>
          <w:sz w:val="17"/>
          <w:szCs w:val="17"/>
          <w:color w:val="auto"/>
        </w:rPr>
        <w:t>has served as our director since April 2015. Mr. Niu is currently the partner of IDG Capital. Prior to joining IDG Capital in 2007, he</w:t>
      </w:r>
      <w:r>
        <w:rPr>
          <w:rFonts w:ascii="Arial" w:cs="Arial" w:eastAsia="Arial" w:hAnsi="Arial"/>
          <w:sz w:val="17"/>
          <w:szCs w:val="17"/>
          <w:i w:val="1"/>
          <w:iCs w:val="1"/>
          <w:color w:val="auto"/>
        </w:rPr>
        <w:t xml:space="preserve"> </w:t>
      </w:r>
      <w:r>
        <w:rPr>
          <w:rFonts w:ascii="Arial" w:cs="Arial" w:eastAsia="Arial" w:hAnsi="Arial"/>
          <w:sz w:val="17"/>
          <w:szCs w:val="17"/>
          <w:color w:val="auto"/>
        </w:rPr>
        <w:t>worked at McKinsey &amp; Company. Mr. Niu has served as a non-executive director of Jiangsu Cnano Technology Co., Ltd. (SSE: 688116) since December 2017. Mr. Niu has also served as a non-executive director of Archermind Technology (Nanjing) Co., Ltd (SZSE: 300598) since November 2019. Mr. Niu holds a master’s and a bachelor’s degree in Computer Science and Technology from Tsinghua University.</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Hang Wang </w:t>
      </w:r>
      <w:r>
        <w:rPr>
          <w:rFonts w:ascii="Arial" w:cs="Arial" w:eastAsia="Arial" w:hAnsi="Arial"/>
          <w:sz w:val="18"/>
          <w:szCs w:val="18"/>
          <w:color w:val="auto"/>
        </w:rPr>
        <w:t>will serve as our director immediately upon the effectiveness of our registration statement on Form F-1, of which this prospectus is a</w:t>
      </w:r>
      <w:r>
        <w:rPr>
          <w:rFonts w:ascii="Arial" w:cs="Arial" w:eastAsia="Arial" w:hAnsi="Arial"/>
          <w:sz w:val="18"/>
          <w:szCs w:val="18"/>
          <w:i w:val="1"/>
          <w:iCs w:val="1"/>
          <w:color w:val="auto"/>
        </w:rPr>
        <w:t xml:space="preserve"> </w:t>
      </w:r>
      <w:r>
        <w:rPr>
          <w:rFonts w:ascii="Arial" w:cs="Arial" w:eastAsia="Arial" w:hAnsi="Arial"/>
          <w:sz w:val="18"/>
          <w:szCs w:val="18"/>
          <w:color w:val="auto"/>
        </w:rPr>
        <w:t>part. Mr. Wang co-founded Hosen Capital in October 2011. Mr. Wang joined New Hope Group as director since 2011 and has served as the vice chairman of New Hope Group since 2013, the vice president from 2004 to 2013 and the chief operation officer of finance department from 2001 to 2004. Mr. Wang has also served as director of New Hope Liuhe Co., Ltd. (SZSE: 000876) since November 2011, and supervisor of China Minsheng Banking Corp., Ltd. (HKEx: 1988; SSE: 600016) since February 2017. Mr. Wang obtained his master’s degree in Political Economics from Peking University in July 1996. He passed the PRC bar exam in September 1995, and has obtained the Certificate of Securities (Asset Management) from Asset Management Association of China in July 2017.</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Mingto Yu </w:t>
      </w:r>
      <w:r>
        <w:rPr>
          <w:rFonts w:ascii="Arial" w:cs="Arial" w:eastAsia="Arial" w:hAnsi="Arial"/>
          <w:sz w:val="18"/>
          <w:szCs w:val="18"/>
          <w:color w:val="auto"/>
        </w:rPr>
        <w:t>will serve as our director immediately upon the effectiveness of our registration statement on Form F-1, of which this prospectus is a</w:t>
      </w:r>
      <w:r>
        <w:rPr>
          <w:rFonts w:ascii="Arial" w:cs="Arial" w:eastAsia="Arial" w:hAnsi="Arial"/>
          <w:sz w:val="18"/>
          <w:szCs w:val="18"/>
          <w:i w:val="1"/>
          <w:iCs w:val="1"/>
          <w:color w:val="auto"/>
        </w:rPr>
        <w:t xml:space="preserve"> </w:t>
      </w:r>
      <w:r>
        <w:rPr>
          <w:rFonts w:ascii="Arial" w:cs="Arial" w:eastAsia="Arial" w:hAnsi="Arial"/>
          <w:sz w:val="18"/>
          <w:szCs w:val="18"/>
          <w:color w:val="auto"/>
        </w:rPr>
        <w:t>part. Mr. Yu has served as the vice chairman of Egis Technology Inc. since August 2019. Prior to Egis, Mr. Yu served as the President at Kaiyu Consulting Inc. from 2013 to 2019. Prior to that, Mr. Yu served as the chief financial officer at Xiaomi from 2011 to 2012 and at Mediatek from 2001 to 2010. Mr. Yu received an MBA degree from Wharton School, University of Pennsylvania in 1995.</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entered into employment agreements with each of our executive officers. Each of our executive officers is employed for indefinite duration until the employment is terminated pursuant to the employment agreement or as mutually agreed between the executive officer and us. We may terminate an executive officer’s employment for cause at any time without advance notice in certain events. Save for certain exceptions, either we or the executive officer may terminate the employment at any time by giving a prior written notice.</w:t>
      </w:r>
    </w:p>
    <w:p>
      <w:pPr>
        <w:spacing w:after="0" w:line="17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12 months after the termination of the employment.</w:t>
      </w:r>
    </w:p>
    <w:p>
      <w:pPr>
        <w:spacing w:after="0" w:line="18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board of directors will consist of seven directors, including three independent directors, namely Mr. Mingto Yu, Mr. Hang Wang and Mr. Kuiguang Niu, upon the SEC’s declaration of effectiveness of our registration statement on Form F-1 to which this prospectus forms a part. A director is not required to hold any shares in our company to qualify to serve as a director. The Listing Rules of the Nasdaq generally require that a majority of an issuer’s board of directors must consist of independent directors. However, the Listing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director may vote with respect to any contract, proposed contract, or arrangement in which he or she is materially interested, provided (1) such director, if his interest in such contract or arrangement is material, has declared the nature of his interest at the earliest meeting of the board at which it is practicable for him to do so, either specifically or by way of a general notice and (2) if such contract or arrangement is a transaction with a related party, such transaction has been approved by the audit committee. A director may exercise all the powers of the company to borrow money, mortgage its business, property and uncalled capital, and issue debentures or other securities whenever money is borrowed or as security for any obligation of the company or of any third party. None of our directors has a service contract with us that provides for benefits upon termination of service as a director.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intend to establish an audit committee, a compensation committee and a nominating and corporate governance committee under our board of directors immediately and adopt a charter for each of the three committees upon the effectiveness of our registration statement on Form F-1, to which this prospectus forms a part. We have adopted a charter for each of the three committees prior to the completion of this offering. Each committee’s members and functions are described below.</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will consist of Mr. Kuiguang Niu, Mr. Hang Wang and Mr. Mingto Yu, and is chaired by Mr. Mingto Yu.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determined that Mr. Kuiguang Niu, Mr. Hang Wang and Mr. Mingto Yu satisfy the “independence” requirements of Rule 5605(c)(2) of the Listing Rules of the Nasdaq and meet the independence standards under Rule 10A-3 under the Securities Exchange Act of 1934, as amended.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We have determined that Mr. Mingto Yu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29" w:lineRule="exact"/>
        <w:rPr>
          <w:sz w:val="20"/>
          <w:szCs w:val="20"/>
          <w:color w:val="auto"/>
        </w:rPr>
      </w:pPr>
    </w:p>
    <w:p>
      <w:pPr>
        <w:ind w:left="1080" w:right="3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142" w:lineRule="exact"/>
        <w:rPr>
          <w:rFonts w:ascii="Arial" w:cs="Arial" w:eastAsia="Arial" w:hAnsi="Arial"/>
          <w:sz w:val="17"/>
          <w:szCs w:val="17"/>
          <w:color w:val="auto"/>
        </w:rPr>
      </w:pPr>
    </w:p>
    <w:p>
      <w:pPr>
        <w:ind w:left="1080" w:right="5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7 of Form 20-F;</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periodically reviewing and reassessing the adequacy of the committee charter;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approving annual audit plans, and undertaking an annual performance evaluation of the internal audit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and report such compliance to the board;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Our compensation committee will consist of Mr. Tao Zou, Mr. Shouzi Zhou and Mr. Kuiguang Niu and is chaired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Tao Zou. We have determined that Mr. Kuiguang Niu satisfies the “independence” requirements of Rule 5605(c)(2)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82"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other similar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periodically reviewing and reassessing the adequacy of the committee charter;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9"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reporting regularly to the board.</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will consist of Mr. Tao Zou, Mr. Yulin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Wang and Mr. Kuiguang Niu, and is chaired by Mr. Tao Zou. We have determined that Mr. Kuiguang Niu satisfies the “independence” requirements of Rule 5605(c)(2)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93"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recommending nominees to the board for election or re-election to the board, or for appointment to fill any vacancy on the board;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evaluating the size, composition, function and duties of the board consistent with its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candidates’ qualifications for membership on the board or a committee of the board based on the criteria approved by the board;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making recommendations to the board as to determinations of director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approving compensation (including equity-based compensation) for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periodically reviewing and reassessing the adequacy of the committee charter;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evaluating the performance and effectiveness of the board as a whole.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and Functions of Directors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Under Cayman Islands law, our directors owe to us fiduciary duties, including a duty of loyalty, a duty to act honestly and a duty to act in what they consider in good faith to be in our best interests. Our directors also have a duty to exercise the skill they actually possess and such care and diligence that a reasonably prudent person would exercise in comparable circumstances.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fulfilling their duty of care to us, our directors must ensure compliance with our memorandum and articles of association, as amended and restated from time to time.</w:t>
      </w:r>
    </w:p>
    <w:p>
      <w:pPr>
        <w:spacing w:after="0" w:line="17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Our company may have the right to seek damages if a duty owed by our directors is breached. You should refer to “Description of Share Capital— Differences in Corporate Law” for additional information on our standard of corporate governance under Cayman Islands law.</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Pursuant to the memorandum and articles of association, which will become effective and replace the current memorandum and articles of association in their entirety immediately prior to the completion of this offering, our officers will be elected by and serve at the discretion of the board. Our directors are not subject to a term of office and hold office until such time as they resign or are removed from office by ordinary resolution of our shareholders.</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 director will be removed from office automatically if, among other things, the director (1) becomes bankrupt or makes any arrangement or composition with his creditors; or (2) dies or is found by our company to be of unsound mind.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Interested Transactions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director may, subject to any separate requirement for audit committee approval under applicable law, the memorandum and article of association or applicable Nasdaq rules, or disqualification by the chairman of the relevant board meeting,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For the fiscal year ended December 31, 2019, we paid an aggregate of RMB7.3 million (US$1.0 million) in cash to our executive officers, and we did not pay any cash compensation to our non-executive directors. We have not set aside or accrued any amount to provide pension, retirement or other similar benefits to our directors and executive officers. Our PRC subsidiaries and our VIEs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“—Share Incentive Plan.”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Share Option Scheme</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adopted an employee share option scheme, or the 2013 Share Option Scheme, on February 27, 2013, as amended on June 27, 2013, May 20, 2015 and December 26, 2016. The purpose of the 2013 Share Option Scheme is to provide incentives or rewards to participants thereunder for their contribution to our company and its directly or indirectly owned subsidiaries and/or to enable our company and its directly or indirectly owned subsidiaries to recruit and retain high-caliber employees and attract human resources that are valuable. Under the 2013 Share Option Scheme, the maximum aggregate number of ordinary shares available for exercise is 209,750,000. As of the date of this prospectus, options to purchase a total of 126,754,000 ordinary shares are outstanding under the 2013 Share Option Scheme.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summarize the terms of the 2013 Share Option Scheme.</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Eligible participants</w:t>
      </w:r>
      <w:r>
        <w:rPr>
          <w:rFonts w:ascii="Arial" w:cs="Arial" w:eastAsia="Arial" w:hAnsi="Arial"/>
          <w:sz w:val="18"/>
          <w:szCs w:val="18"/>
          <w:color w:val="auto"/>
        </w:rPr>
        <w:t>. Employees, whether full time or part time, of our company, its subsidiaries or any invested entities are eligible to participate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2013 Share Option Scheme.</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b w:val="1"/>
          <w:bCs w:val="1"/>
          <w:i w:val="1"/>
          <w:iCs w:val="1"/>
          <w:color w:val="auto"/>
        </w:rPr>
        <w:t>Subscription price</w:t>
      </w:r>
      <w:r>
        <w:rPr>
          <w:rFonts w:ascii="Arial" w:cs="Arial" w:eastAsia="Arial" w:hAnsi="Arial"/>
          <w:sz w:val="16"/>
          <w:szCs w:val="16"/>
          <w:color w:val="auto"/>
        </w:rPr>
        <w:t>. The subscription price in respect of any particular option shall be such price as determined by the board in its absolute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 at the time of making of the offer (which shall be stated in the offer letter) but in any case the subscription price of options granted after our company or Kingsoft Group has resolved to seek a separate initial public offering and up to date of our company’s initial public offering must not be lower than the new issue price in its initial public offering. In particular, any options granted during the period commencing six months before the lodgment of Form A1 (or its equivalent) up to the date of our company’s initial public offering are subject to this requirement. The subscription price of options granted during such period shall be subject to adjustment to a price not lower than the new issue price in our initial public offering.</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2013 Share Option Scheme shall be administrated by the board of our company and Kingsoft Group.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Vesting schedule. </w:t>
      </w:r>
      <w:r>
        <w:rPr>
          <w:rFonts w:ascii="Arial" w:cs="Arial" w:eastAsia="Arial" w:hAnsi="Arial"/>
          <w:sz w:val="18"/>
          <w:szCs w:val="18"/>
          <w:color w:val="auto"/>
        </w:rPr>
        <w:t>The board shall determine the schedule for the vesting of shares comprised in the option on the offer date.</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b w:val="1"/>
          <w:bCs w:val="1"/>
          <w:i w:val="1"/>
          <w:iCs w:val="1"/>
          <w:color w:val="auto"/>
        </w:rPr>
        <w:t>Lapse of options</w:t>
      </w:r>
      <w:r>
        <w:rPr>
          <w:rFonts w:ascii="Arial" w:cs="Arial" w:eastAsia="Arial" w:hAnsi="Arial"/>
          <w:sz w:val="18"/>
          <w:szCs w:val="18"/>
          <w:color w:val="auto"/>
        </w:rPr>
        <w:t>. An option issued under the scheme shall lapse automatically under certain circumstances, including, but not limited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expiry of option period, ceasing to be a participant and commencement of the winding-up of our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An option shall be personal to the grantee and not be assignable and no grantee shall in any way sell, transfer, charge,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encumber or create any interest in favor of any third party over or in relation to any option.</w:t>
      </w:r>
    </w:p>
    <w:p>
      <w:pPr>
        <w:spacing w:after="0" w:line="170" w:lineRule="exact"/>
        <w:rPr>
          <w:sz w:val="20"/>
          <w:szCs w:val="20"/>
          <w:color w:val="auto"/>
        </w:rPr>
      </w:pPr>
    </w:p>
    <w:p>
      <w:pPr>
        <w:jc w:val="both"/>
        <w:ind w:left="120" w:right="380" w:firstLine="440"/>
        <w:spacing w:after="0" w:line="342" w:lineRule="auto"/>
        <w:rPr>
          <w:sz w:val="20"/>
          <w:szCs w:val="20"/>
          <w:color w:val="auto"/>
        </w:rPr>
      </w:pPr>
      <w:r>
        <w:rPr>
          <w:rFonts w:ascii="Arial" w:cs="Arial" w:eastAsia="Arial" w:hAnsi="Arial"/>
          <w:sz w:val="16"/>
          <w:szCs w:val="16"/>
          <w:b w:val="1"/>
          <w:bCs w:val="1"/>
          <w:i w:val="1"/>
          <w:iCs w:val="1"/>
          <w:color w:val="auto"/>
        </w:rPr>
        <w:t xml:space="preserve">Termination. </w:t>
      </w:r>
      <w:r>
        <w:rPr>
          <w:rFonts w:ascii="Arial" w:cs="Arial" w:eastAsia="Arial" w:hAnsi="Arial"/>
          <w:sz w:val="16"/>
          <w:szCs w:val="16"/>
          <w:color w:val="auto"/>
        </w:rPr>
        <w:t>We may by resolution in general meeting at any time terminate the operation of the 2013 Share Option Scheme. Options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extent not already exercised) granted prior to such termination shall continue to valid and exercisable in accordance with the 2013 Option Scheme.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Share Award Scheme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adopted an employee share award scheme, or the 2013 Share Award Scheme, on February 22, 2013, as amended on January 9, 2015, March 3, 2016, June 8, 2016 and December 7, 2018 and November 6, 2019. The purpose of the 2013 Share Award Scheme is to provide incentives or rewards to selected employees for their contribution and/or to enable us to recruit and retain high-caliber employees and attract human resources that are valuable. Under the 2013 Share Award Scheme, the maximum aggregate number of ordinary shares which may be issued upon exercise of all awards to be granted thereunder is 215,376,304 ordinary shares. As of the date of this prospectus, a total of 123,972,000 awards are outstanding under the 2013 Share Award Scheme. An aggregate of 9,400,000 share awards are subject to accelerated vesting and will become outstanding ordinary shares upon the completion of this offering, and there will be 114,572,000 share awards granted and outstanding under the 2013 Share Award Scheme upon the completion of this offering.</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summarize the terms of the 2013 Share Award Scheme.</w:t>
      </w:r>
    </w:p>
    <w:p>
      <w:pPr>
        <w:spacing w:after="0" w:line="22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2013 Share Award Scheme provides for the award of our ordinary shares by the board subject to certain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as it may think fit to selected employees.</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Award notice</w:t>
      </w:r>
      <w:r>
        <w:rPr>
          <w:rFonts w:ascii="Arial" w:cs="Arial" w:eastAsia="Arial" w:hAnsi="Arial"/>
          <w:sz w:val="18"/>
          <w:szCs w:val="18"/>
          <w:color w:val="auto"/>
        </w:rPr>
        <w:t>. Our company shall inform the selected employees by written notice in such form as our company may from time to time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the selected employees to undertake to hold the award on the terms on which it is to be granted and to be bound by the rules of the 2013 Share Award Scheme.</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Employees, whether full time or part time, of our company, its subsidiaries or any entity in which the company and its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holds any equity interest are eligible to participate in the 2013 Share Award Scheme.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2013 Share Award Scheme shall be administrated by the board of our Company.</w:t>
      </w:r>
    </w:p>
    <w:p>
      <w:pPr>
        <w:spacing w:after="0" w:line="22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b w:val="1"/>
          <w:bCs w:val="1"/>
          <w:i w:val="1"/>
          <w:iCs w:val="1"/>
          <w:color w:val="auto"/>
        </w:rPr>
        <w:t>Lapse of the awards</w:t>
      </w:r>
      <w:r>
        <w:rPr>
          <w:rFonts w:ascii="Arial" w:cs="Arial" w:eastAsia="Arial" w:hAnsi="Arial"/>
          <w:sz w:val="16"/>
          <w:szCs w:val="16"/>
          <w:color w:val="auto"/>
        </w:rPr>
        <w:t>. An award will automatically lapse if (i) a selected employee ceases to be an eligible employee, (ii) a selected employee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 to be an excluded employee, or (iii) a selected employee has breached the 2013 Share Award Scheme or any exhibit hereof in any material respect, or (iv) the company by which a selected employee is employed ceases to be a member of the group or any entity in which the group holds any equity interest, or (v) an order for the winding-up of our company is made or a resolution is passed for the voluntary winding-up of our company.</w:t>
      </w:r>
    </w:p>
    <w:p>
      <w:pPr>
        <w:spacing w:after="0" w:line="15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Any award made under the 2013 Share Award Scheme shall be personal to the selected employee to whom it is made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be assignable and no selected employee shall in any way sell, transfer, assign, charge, mortgage, encumber or create any interests in favor of any other third party over or in relation to either the award referable to him pursuant to such award (regardless of whether it has been vested) or any beneficial interest therein.</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Termination. </w:t>
      </w:r>
      <w:r>
        <w:rPr>
          <w:rFonts w:ascii="Arial" w:cs="Arial" w:eastAsia="Arial" w:hAnsi="Arial"/>
          <w:sz w:val="17"/>
          <w:szCs w:val="17"/>
          <w:color w:val="auto"/>
        </w:rPr>
        <w:t>The 2013 Share Award Scheme will terminate on the earliest of (i) the end of February 21, 2023, being the day before the 10</w:t>
      </w:r>
      <w:r>
        <w:rPr>
          <w:rFonts w:ascii="Arial" w:cs="Arial" w:eastAsia="Arial" w:hAnsi="Arial"/>
          <w:sz w:val="14"/>
          <w:szCs w:val="14"/>
          <w:color w:val="auto"/>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of the adoption date, (ii) the date when an order for the winding up of our company is made or a resolution is passed for the voluntary winding-up of our company (otherwise than for the purposes of an amalgamation, reconstruction or scheme of arrangement), and, (iii) such date of early termination as determined by the Board, unless terminated at an earlier date by our board of directors.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summarizes, as of the date of this prospectus, the number of ordinary shares under outstanding options and awards that we granted to our directors and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Ordinary</w:t>
            </w: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Share-based</w:t>
            </w:r>
          </w:p>
        </w:tc>
        <w:tc>
          <w:tcPr>
            <w:tcW w:w="254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Exercise</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2540" w:type="dxa"/>
            <w:vAlign w:val="bottom"/>
            <w:gridSpan w:val="2"/>
            <w:vMerge w:val="continue"/>
          </w:tcPr>
          <w:p>
            <w:pPr>
              <w:spacing w:after="0"/>
              <w:rPr>
                <w:sz w:val="12"/>
                <w:szCs w:val="12"/>
                <w:color w:val="auto"/>
              </w:rPr>
            </w:pPr>
          </w:p>
        </w:tc>
        <w:tc>
          <w:tcPr>
            <w:tcW w:w="252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Date of Grant</w:t>
            </w:r>
          </w:p>
        </w:tc>
        <w:tc>
          <w:tcPr>
            <w:tcW w:w="24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75"/>
        </w:trPr>
        <w:tc>
          <w:tcPr>
            <w:tcW w:w="2300" w:type="dxa"/>
            <w:vAlign w:val="bottom"/>
            <w:vMerge w:val="restart"/>
          </w:tcPr>
          <w:p>
            <w:pPr>
              <w:spacing w:after="0"/>
              <w:rPr>
                <w:sz w:val="20"/>
                <w:szCs w:val="20"/>
                <w:color w:val="auto"/>
              </w:rPr>
            </w:pPr>
            <w:r>
              <w:rPr>
                <w:rFonts w:ascii="Arial" w:cs="Arial" w:eastAsia="Arial" w:hAnsi="Arial"/>
                <w:sz w:val="18"/>
                <w:szCs w:val="18"/>
                <w:color w:val="auto"/>
              </w:rPr>
              <w:t>Jun Lei</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Granted</w:t>
            </w:r>
          </w:p>
        </w:tc>
        <w:tc>
          <w:tcPr>
            <w:tcW w:w="2540" w:type="dxa"/>
            <w:vAlign w:val="bottom"/>
            <w:gridSpan w:val="2"/>
          </w:tcPr>
          <w:p>
            <w:pPr>
              <w:ind w:left="660"/>
              <w:spacing w:after="0"/>
              <w:rPr>
                <w:sz w:val="20"/>
                <w:szCs w:val="20"/>
                <w:color w:val="auto"/>
              </w:rPr>
            </w:pPr>
            <w:r>
              <w:rPr>
                <w:rFonts w:ascii="Arial" w:cs="Arial" w:eastAsia="Arial" w:hAnsi="Arial"/>
                <w:sz w:val="14"/>
                <w:szCs w:val="14"/>
                <w:b w:val="1"/>
                <w:bCs w:val="1"/>
                <w:color w:val="auto"/>
              </w:rPr>
              <w:t>Price (US$/Share)</w:t>
            </w:r>
          </w:p>
        </w:tc>
        <w:tc>
          <w:tcPr>
            <w:tcW w:w="2520" w:type="dxa"/>
            <w:vAlign w:val="bottom"/>
            <w:gridSpan w:val="2"/>
            <w:vMerge w:val="continue"/>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00" w:type="dxa"/>
            <w:vAlign w:val="bottom"/>
            <w:vMerge w:val="continue"/>
          </w:tcPr>
          <w:p>
            <w:pPr>
              <w:spacing w:after="0"/>
              <w:rPr>
                <w:sz w:val="16"/>
                <w:szCs w:val="16"/>
                <w:color w:val="auto"/>
              </w:rPr>
            </w:pPr>
          </w:p>
        </w:tc>
        <w:tc>
          <w:tcPr>
            <w:tcW w:w="1080" w:type="dxa"/>
            <w:vAlign w:val="bottom"/>
            <w:tcBorders>
              <w:top w:val="single" w:sz="8" w:color="auto"/>
            </w:tcBorders>
          </w:tcPr>
          <w:p>
            <w:pPr>
              <w:jc w:val="right"/>
              <w:ind w:right="16"/>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420" w:type="dxa"/>
            <w:vAlign w:val="bottom"/>
            <w:tcBorders>
              <w:top w:val="single" w:sz="8" w:color="auto"/>
            </w:tcBorders>
          </w:tcPr>
          <w:p>
            <w:pPr>
              <w:ind w:left="216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400" w:type="dxa"/>
            <w:vAlign w:val="bottom"/>
            <w:tcBorders>
              <w:top w:val="single" w:sz="8" w:color="auto"/>
            </w:tcBorders>
          </w:tcPr>
          <w:p>
            <w:pPr>
              <w:ind w:left="214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Tao Zou</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Yulin Wang</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54,000,000</w:t>
            </w:r>
          </w:p>
        </w:tc>
        <w:tc>
          <w:tcPr>
            <w:tcW w:w="2540" w:type="dxa"/>
            <w:vAlign w:val="bottom"/>
            <w:gridSpan w:val="2"/>
          </w:tcPr>
          <w:p>
            <w:pPr>
              <w:ind w:left="1420"/>
              <w:spacing w:after="0"/>
              <w:rPr>
                <w:sz w:val="20"/>
                <w:szCs w:val="20"/>
                <w:color w:val="auto"/>
              </w:rPr>
            </w:pPr>
            <w:r>
              <w:rPr>
                <w:rFonts w:ascii="Arial" w:cs="Arial" w:eastAsia="Arial" w:hAnsi="Arial"/>
                <w:sz w:val="18"/>
                <w:szCs w:val="18"/>
                <w:color w:val="auto"/>
              </w:rPr>
              <w:t>nil to 0.86978</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20, 2020</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January 20, 2030</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Haijian He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1420"/>
              <w:spacing w:after="0"/>
              <w:rPr>
                <w:sz w:val="20"/>
                <w:szCs w:val="20"/>
                <w:color w:val="auto"/>
              </w:rPr>
            </w:pPr>
            <w:r>
              <w:rPr>
                <w:rFonts w:ascii="Arial" w:cs="Arial" w:eastAsia="Arial" w:hAnsi="Arial"/>
                <w:sz w:val="18"/>
                <w:szCs w:val="18"/>
                <w:color w:val="auto"/>
              </w:rPr>
              <w:t>nil to 0.86978</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8, 2020</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February 8, 2030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Shou Zi Chew</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Shouxing Liang</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February 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various dates from February 15,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2016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2026 to December 5, 2029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Wei Song</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November 20,</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various dates from November 20,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2013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2023 to December 5, 2029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Tao Liu</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February 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various dates from February 15,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2016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2026 to December 5, 2029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Yonghong Hu</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60" w:type="dxa"/>
            <w:vAlign w:val="bottom"/>
            <w:gridSpan w:val="4"/>
          </w:tcPr>
          <w:p>
            <w:pPr>
              <w:jc w:val="right"/>
              <w:ind w:right="120"/>
              <w:spacing w:after="0"/>
              <w:rPr>
                <w:sz w:val="20"/>
                <w:szCs w:val="20"/>
                <w:color w:val="auto"/>
              </w:rPr>
            </w:pPr>
            <w:r>
              <w:rPr>
                <w:rFonts w:ascii="Arial" w:cs="Arial" w:eastAsia="Arial" w:hAnsi="Arial"/>
                <w:sz w:val="18"/>
                <w:szCs w:val="18"/>
                <w:color w:val="auto"/>
              </w:rPr>
              <w:t>nil to 0.86978   various dates from February 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various dates from February 15,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2016 to December 5, 2019</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2026 to December 5, 2029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Kuiguang Niu</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Hang Wang**</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Mingto Yu**</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5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w:t>
      </w:r>
    </w:p>
    <w:p>
      <w:pPr>
        <w:ind w:left="540" w:hanging="424"/>
        <w:spacing w:after="0" w:line="221"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ind w:left="540" w:right="40" w:hanging="424"/>
        <w:spacing w:after="0" w:line="237"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of Mr. Hang Wang and Mr. Mingto Yu has accepted appointment as a director, which will be effective immediately upon the SEC’s declaration of effectiveness of our registration statement on Form F-1, of which this prospectus is a part.</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the date of this prospectus, our employees other than members of our senior management as a group hold (i) outstanding options to purchase 94,280,000 ordinary shares, with exercise prices ranging from US$0.02 per share to the initial public offering price per share, and (ii) 44,652,976 outstanding awards.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discussions of our accounting policies and estimates for options and awards granted pursuant to the 2013 Share Option Scheme and the 2013 Share Award Scheme, respectively, see “Management’s Discussion and Analysis of Financial Condition and Results of Operations—Critical Accounting Policies, Judgments and Estimates—Share-based compensation.”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concerning the beneficial ownership of our ordinary shares as of the date of this prospectus by:</w:t>
      </w:r>
    </w:p>
    <w:p>
      <w:pPr>
        <w:spacing w:after="0" w:line="142"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calculations in the table below are based on 2,619,566,493 ordinary shares on an as-converted basis outstanding as of the date of this prospectus and 3,003,966,493 ordinary shares outstanding immediately after the completion of this offering, including (i) 375,000,000 ordinary shares to be sold by us in this offering in the form of ADSs, (ii) 2,628,966,493 ordinary shares, including the conversion of outstanding preferred shares and the accelerated vesting of share awards, and excluding a total of 5,475,254 ordinary shares we repurchased in February 2020 and 159,894,128 ordinary shares issued but deemed to be not outstanding immediately after the completion of this offering, representing the 159,894,128 ordinary shares underlying share awards under our share incentive plans that are issued but deemed to be not outstanding and held by TMF Trust (HK) Limited, as trustee of the share awards, assuming that the underwriters do not exercise their option to purchase additional ADSs.</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Kingsoft Group and Xiaomi, our existing shareholders, have indicated interest in purchasing up to US$25 million and US$50 million, respectively, of the ADSs being offered in this offering at the initial public offering price and on the same terms as the other ADSs being offered. Such indications of interests are not binding agreements or commitments to purchase, and we and the underwriters are currently under no obligations to sell any ADSs to Kingsoft Group or Xiaomi. The calculations in the table below do not take into account of these existing shareholders’ subscription in this offering, if any.</w:t>
      </w:r>
    </w:p>
    <w:p>
      <w:pPr>
        <w:spacing w:after="0" w:line="18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Ordinary Shares Beneficially</w:t>
            </w:r>
          </w:p>
        </w:tc>
        <w:tc>
          <w:tcPr>
            <w:tcW w:w="158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5"/>
              </w:rPr>
              <w:t>Ordinary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2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Owned Prior to This Offering</w:t>
            </w:r>
          </w:p>
        </w:tc>
        <w:tc>
          <w:tcPr>
            <w:tcW w:w="158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6"/>
              </w:rPr>
              <w:t>this Offering</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5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2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xml:space="preserve">Jun Lei </w:t>
            </w:r>
            <w:r>
              <w:rPr>
                <w:rFonts w:ascii="Arial" w:cs="Arial" w:eastAsia="Arial" w:hAnsi="Arial"/>
                <w:sz w:val="15"/>
                <w:szCs w:val="15"/>
                <w:color w:val="auto"/>
              </w:rPr>
              <w:t>(1)</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414,376,000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414,376,000</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Tao Zou</w:t>
            </w:r>
          </w:p>
        </w:tc>
        <w:tc>
          <w:tcPr>
            <w:tcW w:w="2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Yulin Wang</w:t>
            </w:r>
            <w:r>
              <w:rPr>
                <w:rFonts w:ascii="Arial" w:cs="Arial" w:eastAsia="Arial" w:hAnsi="Arial"/>
                <w:sz w:val="15"/>
                <w:szCs w:val="15"/>
                <w:color w:val="auto"/>
              </w:rPr>
              <w:t>(2)</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61,829,413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61,829,413</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Haijian He</w:t>
            </w:r>
          </w:p>
        </w:tc>
        <w:tc>
          <w:tcPr>
            <w:tcW w:w="2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Shou Zi Chew</w:t>
            </w:r>
          </w:p>
        </w:tc>
        <w:tc>
          <w:tcPr>
            <w:tcW w:w="2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Shouxing Liang</w:t>
            </w:r>
          </w:p>
        </w:tc>
        <w:tc>
          <w:tcPr>
            <w:tcW w:w="3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Wei Song</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Tao Liu</w:t>
            </w:r>
          </w:p>
        </w:tc>
        <w:tc>
          <w:tcPr>
            <w:tcW w:w="3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Yonghong Hu</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Kuiguang Niu</w:t>
            </w:r>
          </w:p>
        </w:tc>
        <w:tc>
          <w:tcPr>
            <w:tcW w:w="2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Hang Wang ††</w:t>
            </w:r>
          </w:p>
        </w:tc>
        <w:tc>
          <w:tcPr>
            <w:tcW w:w="2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Mingto Yu ††</w:t>
            </w:r>
          </w:p>
        </w:tc>
        <w:tc>
          <w:tcPr>
            <w:tcW w:w="2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r>
              <w:rPr>
                <w:rFonts w:ascii="Arial" w:cs="Arial" w:eastAsia="Arial" w:hAnsi="Arial"/>
                <w:sz w:val="15"/>
                <w:szCs w:val="15"/>
                <w:color w:val="auto"/>
              </w:rPr>
              <w:t>(3)</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497,592,710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497,592,710</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2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xml:space="preserve">Kingsoft Corporation Limited </w:t>
            </w:r>
            <w:r>
              <w:rPr>
                <w:rFonts w:ascii="Arial" w:cs="Arial" w:eastAsia="Arial" w:hAnsi="Arial"/>
                <w:sz w:val="15"/>
                <w:szCs w:val="15"/>
                <w:color w:val="auto"/>
              </w:rPr>
              <w:t>(4)</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1,407,275,559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1,407,275,559</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Xiaomi Corporation </w:t>
            </w:r>
            <w:r>
              <w:rPr>
                <w:rFonts w:ascii="Arial" w:cs="Arial" w:eastAsia="Arial" w:hAnsi="Arial"/>
                <w:sz w:val="15"/>
                <w:szCs w:val="15"/>
                <w:color w:val="auto"/>
              </w:rPr>
              <w:t>(5)</w:t>
            </w:r>
          </w:p>
        </w:tc>
        <w:tc>
          <w:tcPr>
            <w:tcW w:w="3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414,376,000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414,376,000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FutureX Entities</w:t>
            </w:r>
            <w:r>
              <w:rPr>
                <w:rFonts w:ascii="Arial" w:cs="Arial" w:eastAsia="Arial" w:hAnsi="Arial"/>
                <w:sz w:val="15"/>
                <w:szCs w:val="15"/>
                <w:color w:val="auto"/>
              </w:rPr>
              <w:t>(6)</w:t>
            </w:r>
          </w:p>
        </w:tc>
        <w:tc>
          <w:tcPr>
            <w:tcW w:w="3620" w:type="dxa"/>
            <w:vAlign w:val="bottom"/>
            <w:gridSpan w:val="3"/>
          </w:tcPr>
          <w:p>
            <w:pPr>
              <w:jc w:val="right"/>
              <w:ind w:right="280"/>
              <w:spacing w:after="0"/>
              <w:rPr>
                <w:sz w:val="20"/>
                <w:szCs w:val="20"/>
                <w:color w:val="auto"/>
              </w:rPr>
            </w:pPr>
            <w:r>
              <w:rPr>
                <w:rFonts w:ascii="Arial" w:cs="Arial" w:eastAsia="Arial" w:hAnsi="Arial"/>
                <w:sz w:val="18"/>
                <w:szCs w:val="18"/>
                <w:color w:val="auto"/>
              </w:rPr>
              <w:t>149,068,637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149,068,637</w:t>
            </w:r>
          </w:p>
        </w:tc>
        <w:tc>
          <w:tcPr>
            <w:tcW w:w="1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50"/>
        </w:trPr>
        <w:tc>
          <w:tcPr>
            <w:tcW w:w="4440" w:type="dxa"/>
            <w:vAlign w:val="bottom"/>
          </w:tcPr>
          <w:p>
            <w:pPr>
              <w:spacing w:after="0"/>
              <w:rPr>
                <w:sz w:val="24"/>
                <w:szCs w:val="24"/>
                <w:color w:val="auto"/>
              </w:rPr>
            </w:pPr>
          </w:p>
        </w:tc>
        <w:tc>
          <w:tcPr>
            <w:tcW w:w="2160" w:type="dxa"/>
            <w:vAlign w:val="bottom"/>
          </w:tcPr>
          <w:p>
            <w:pPr>
              <w:jc w:val="right"/>
              <w:ind w:right="870"/>
              <w:spacing w:after="0"/>
              <w:rPr>
                <w:sz w:val="20"/>
                <w:szCs w:val="20"/>
                <w:color w:val="auto"/>
              </w:rPr>
            </w:pPr>
            <w:r>
              <w:rPr>
                <w:rFonts w:ascii="Arial" w:cs="Arial" w:eastAsia="Arial" w:hAnsi="Arial"/>
                <w:sz w:val="18"/>
                <w:szCs w:val="18"/>
                <w:color w:val="auto"/>
              </w:rPr>
              <w:t>168</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ind w:left="540" w:hanging="424"/>
        <w:spacing w:after="0" w:line="221"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Less than 1% of our total outstanding shares on an as-converted basis.</w:t>
      </w:r>
    </w:p>
    <w:p>
      <w:pPr>
        <w:ind w:left="540" w:right="200" w:hanging="424"/>
        <w:spacing w:after="0" w:line="238" w:lineRule="auto"/>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For each person and group included in this table, percentage ownership is calculated by dividing the number of shares beneficially owned by such person or group by the sum of (i) 2,619,566,493 being the number of ordinary shares on an as-converted basis outstanding as of the date of this prospectus, and (ii) the number of ordinary shares underlying share options held by such person or group that are exercisable and share awards that will become vested within 60 days after the date of this prospectus.</w:t>
      </w:r>
    </w:p>
    <w:p>
      <w:pPr>
        <w:spacing w:after="0" w:line="1" w:lineRule="exact"/>
        <w:rPr>
          <w:sz w:val="20"/>
          <w:szCs w:val="20"/>
          <w:color w:val="auto"/>
        </w:rPr>
      </w:pPr>
    </w:p>
    <w:p>
      <w:pPr>
        <w:ind w:left="540" w:right="120" w:hanging="424"/>
        <w:spacing w:after="0" w:line="221"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address of our directors and executive officers except for Mr. Jun Lei and Mr. Shou Zi Chew is Kingsoft Tower, No. 33, Xiao Ying West Road, Haidian District Beijing, 100085, the People’s Republic of China. The business address of Mr. Jun Lei and Mr. Shou Zi Chew is Xiaomi Campus, No. 33 Xi Erqi Middle Road, Haidian District, Beijing, 100085, the People’s Republic of China.</w:t>
      </w:r>
    </w:p>
    <w:p>
      <w:pPr>
        <w:spacing w:after="0" w:line="1" w:lineRule="exact"/>
        <w:rPr>
          <w:sz w:val="20"/>
          <w:szCs w:val="20"/>
          <w:color w:val="auto"/>
        </w:rPr>
      </w:pPr>
    </w:p>
    <w:p>
      <w:pPr>
        <w:ind w:left="540" w:hanging="424"/>
        <w:spacing w:after="0" w:line="221"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Each of Mr. Hang Wang and Mr. Mingto Yu has accepted appointment as a director, which will be immediately effective upon the SEC’s declaration of effectiveness of our registration statement on Form F-1, of which this prospectus is a part.</w:t>
      </w:r>
    </w:p>
    <w:p>
      <w:pPr>
        <w:ind w:left="540" w:hanging="424"/>
        <w:spacing w:after="0" w:line="222"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Lei has the majority voting power in Xiaomi Corporation and is deemed to beneficially own our shares held by Xiaomi Corporation.</w:t>
      </w:r>
    </w:p>
    <w:p>
      <w:pPr>
        <w:ind w:left="540" w:right="20" w:hanging="424"/>
        <w:spacing w:after="0" w:line="238" w:lineRule="auto"/>
        <w:tabs>
          <w:tab w:leader="none" w:pos="5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 (i) 48,605,125 ordinary shares held by Autogold Limited, a British Virgin Islands company wholly owned by Prosper River Group Limited and ultimately controlled by The YTCM Trust. The YTCM Trust is a trust established under the laws of the Republic of Singapore and managed by Vistra Trust (Singapore) Pte. Limited as the trustee. Mr. Yulin Wang is the settlor of the trust, and Mr. Yulin Wang and his family members are the trust’s beneficiaries. The registered address of Autogold Limited is c/o P.O. Box 957, Offshore Incorporations Centre, Road Town, Tortola, British Virgin Islands, (ii) 6,000,000 ordinary shares held by River Jade Holdings Limited, a British Virgin Islands company ultimately controlled by Mr. Yulin Wang. The registered address of River Jade Holdings Limited is c/o P.O. Box 957, Offshore Incorporations Centre, Road Town, Tortola, British Virgin Islands, and (iii) 224,288 ordinary shares underlying share awards under our share incentive plans held by TMF Trust (HK) Limited, as trustee of the share awards. In addition, an aggregate of 7,000,000 ordinary shares underlying share awards are subject to accelerated vesting and will become outstanding upon the completion of this offering, including (i) 3,600,000 ordinary shares held by River Jade Holdings Limited and (ii) 3,400,000 ordinary shares held by TMF Trust (HK) Limited.</w:t>
      </w:r>
    </w:p>
    <w:p>
      <w:pPr>
        <w:spacing w:after="0" w:line="2" w:lineRule="exact"/>
        <w:rPr>
          <w:rFonts w:ascii="Arial" w:cs="Arial" w:eastAsia="Arial" w:hAnsi="Arial"/>
          <w:sz w:val="13"/>
          <w:szCs w:val="13"/>
          <w:color w:val="auto"/>
        </w:rPr>
      </w:pPr>
    </w:p>
    <w:p>
      <w:pPr>
        <w:ind w:left="540" w:right="180" w:hanging="424"/>
        <w:spacing w:after="0" w:line="221"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Including (i) an aggregate of 9,400,000 ordinary shares underlying share awards that are subject to accelerated vesting and will become outstanding upon the completion of this offering, and (ii) an aggregate of 4,140,000 ordinary shares underlying share options held by our directors and executive officers that are exercisable within 60 days after the date of this prospectus.</w:t>
      </w:r>
    </w:p>
    <w:p>
      <w:pPr>
        <w:ind w:left="540" w:right="160" w:hanging="424"/>
        <w:spacing w:after="0" w:line="221"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 669,000,000 ordinary shares, 134,740,000 Series A convertible preferred shares, 79,873,872 Series B convertible preferred shares, 102,292,296 Series C Preferred Shares and 421,369,391 Series D Preferred Shares directly held by Kingsoft Corporation Limited, a Cayman Islands company. The registered address of Kingsoft Corporation Limited is Clifton House, 75 Fort Street, George Town, Grand Cayman, Cayman Islands.</w:t>
      </w:r>
    </w:p>
    <w:p>
      <w:pPr>
        <w:ind w:left="540" w:right="60" w:hanging="424"/>
        <w:spacing w:after="0" w:line="221"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 91,000,000 ordinary shares and 323,376,000 Series A convertible preferred shares directly held by Xiaomi Corporation, a Cayman Islands company. The registered address of Xiaomi Corporation is PO Box 309, Ugland House, Grand Cayman, KY1-11074, Cayman Islands.</w:t>
      </w:r>
    </w:p>
    <w:p>
      <w:pPr>
        <w:ind w:left="540" w:hanging="424"/>
        <w:spacing w:after="0" w:line="238" w:lineRule="auto"/>
        <w:tabs>
          <w:tab w:leader="none" w:pos="5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 (i) 16,369,647 Series C Preferred Shares held by FutureX Innovation SPC—Special Opportunity Fund VI SP, a Cayman Islands company, (ii) 17,727,785 Series C Preferred Shares held by FutureX Innovation SPC (for the account of and on behalf of Special Opportunity Fund V SP), a Cayman Islands company, (iii) 41,271,160 Series D Preferred Shares held by FutureX Innovation SPC (acting for and on behalf of New Technology Fund I SP as one of its segregated portfolios), a Cayman Islands company, (iv) 57,485,603 Series D Preferred Shares held by FutureX AI Opportunity Fund LP, a Cayman Islands limited partnership, and (v) 16,214,442 Series D Preferred Shares held by Howater Innovation I Limited Partnership, a Cayman Islands limited partnership. Each of FutureX Innovation SPC—Special Opportunity Fund VI SP, FutureX Innovation SPC (for the account of and on behalf of Special Opportunity Fund V SP) and FutureX Innovation SPC (acting for and on behalf of New Technology Fund I SP as one of its segregated portfolios) (collectively as the “FutureX Innovation SPC Entities”) is controlled by FutureX Capital Limited, a Cayman Islands company. The general partner of FutureX AI Opportunity Fund LP is FutureX Innovation Limited, a Cayman Islands company, which is controlled by FutureX Capital Limited. FutureX Capital Limited is controlled by Ms. Qian Zhang. The general partner of Howater Innovation I Limited Partnership is Howater Capital (Cayman) Limited, a Cayman Islands company.</w:t>
      </w:r>
    </w:p>
    <w:p>
      <w:pPr>
        <w:spacing w:after="0" w:line="2" w:lineRule="exact"/>
        <w:rPr>
          <w:rFonts w:ascii="Arial" w:cs="Arial" w:eastAsia="Arial" w:hAnsi="Arial"/>
          <w:sz w:val="13"/>
          <w:szCs w:val="13"/>
          <w:color w:val="auto"/>
        </w:rPr>
      </w:pPr>
    </w:p>
    <w:p>
      <w:pPr>
        <w:ind w:left="540" w:right="20"/>
        <w:spacing w:after="0" w:line="221" w:lineRule="auto"/>
        <w:rPr>
          <w:rFonts w:ascii="Arial" w:cs="Arial" w:eastAsia="Arial" w:hAnsi="Arial"/>
          <w:sz w:val="13"/>
          <w:szCs w:val="13"/>
          <w:color w:val="auto"/>
        </w:rPr>
      </w:pPr>
      <w:r>
        <w:rPr>
          <w:rFonts w:ascii="Arial" w:cs="Arial" w:eastAsia="Arial" w:hAnsi="Arial"/>
          <w:sz w:val="14"/>
          <w:szCs w:val="14"/>
          <w:color w:val="auto"/>
        </w:rPr>
        <w:t>According to the proxy arrangement among the FutureX Innovation SPC Entities, FutureX AI Opportunity Fund LP and Howater Innovation I Limited Partnership, each of the FutureX Innovation SPC Entities and Howater Innovation I Limited Partnership has irrevocably and unconditionally appointed and constituted FutureX AI Opportunity Fund LP or any person nominated by FutureX AI Opportunity Fund LP, as its proxy, to vote all shares then held by them on behalf of them at any shareholder meeting of the Company (and at any adjournment thereof) held at any time and in any manner or direction as FutureX AI Opportunity Fund LP may deem fit in its sole discretion.</w:t>
      </w:r>
    </w:p>
    <w:p>
      <w:pPr>
        <w:spacing w:after="0" w:line="1" w:lineRule="exact"/>
        <w:rPr>
          <w:rFonts w:ascii="Arial" w:cs="Arial" w:eastAsia="Arial" w:hAnsi="Arial"/>
          <w:sz w:val="13"/>
          <w:szCs w:val="13"/>
          <w:color w:val="auto"/>
        </w:rPr>
      </w:pPr>
    </w:p>
    <w:p>
      <w:pPr>
        <w:ind w:left="540" w:right="120"/>
        <w:spacing w:after="0" w:line="271" w:lineRule="auto"/>
        <w:rPr>
          <w:rFonts w:ascii="Arial" w:cs="Arial" w:eastAsia="Arial" w:hAnsi="Arial"/>
          <w:sz w:val="13"/>
          <w:szCs w:val="13"/>
          <w:color w:val="auto"/>
        </w:rPr>
      </w:pPr>
      <w:r>
        <w:rPr>
          <w:rFonts w:ascii="Arial" w:cs="Arial" w:eastAsia="Arial" w:hAnsi="Arial"/>
          <w:sz w:val="13"/>
          <w:szCs w:val="13"/>
          <w:color w:val="auto"/>
        </w:rPr>
        <w:t>The registered office of the FutureX Innovation SPC Entities and FutureX AI Opportunity Fund LP is 4th Floor, Harbour Place, 103 South Church Street, P.O. Box 10240, Grand Cayman KY1-1002, Cayman Islands. The registered office of Howater Innovation I Limited Partnership is 89 Nexus Way, Camana Bay, Grand Cayman KY1-9009, Cayman Islands.</w:t>
      </w:r>
    </w:p>
    <w:p>
      <w:pPr>
        <w:spacing w:after="0" w:line="12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As of the date of this prospectus, none of our outstanding ordinary shares or preferred shares are held by record holders in the United States. We are not aware of any arrangement that may, at a subsequent date, result in a change of control of our company. See “Description of Share Capital— History of Securities Issuances” for a description of issuances of our ordinary shares and preferred shares that have resulted in significant changes in ownership held by our major shareholders. Upon the completion of this offering, Kingsoft Group will remain our largest shareholder.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See “Corporate History and Structure” for a description of the contractual arrangements by and among our PRC subsidiaries, our VIEs and the shareholders of our VIEs.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“Description of Share Capital—Shareholders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“Description of Share Capital—Registration Rights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“Management—Share Incentive Plan.”</w:t>
      </w:r>
    </w:p>
    <w:p>
      <w:pPr>
        <w:spacing w:after="0" w:line="329" w:lineRule="exact"/>
        <w:rPr>
          <w:sz w:val="20"/>
          <w:szCs w:val="20"/>
          <w:color w:val="auto"/>
        </w:rPr>
      </w:pPr>
    </w:p>
    <w:p>
      <w:pPr>
        <w:jc w:val="right"/>
        <w:ind w:right="8300"/>
        <w:spacing w:after="0"/>
        <w:rPr>
          <w:sz w:val="20"/>
          <w:szCs w:val="20"/>
          <w:color w:val="auto"/>
        </w:rPr>
      </w:pPr>
      <w:r>
        <w:rPr>
          <w:rFonts w:ascii="Arial" w:cs="Arial" w:eastAsia="Arial" w:hAnsi="Arial"/>
          <w:sz w:val="17"/>
          <w:szCs w:val="17"/>
          <w:b w:val="1"/>
          <w:bCs w:val="1"/>
          <w:color w:val="auto"/>
        </w:rPr>
        <w:t>Transactions with Kingsoft Group</w:t>
      </w:r>
    </w:p>
    <w:p>
      <w:pPr>
        <w:spacing w:after="0" w:line="133" w:lineRule="exact"/>
        <w:rPr>
          <w:sz w:val="20"/>
          <w:szCs w:val="20"/>
          <w:color w:val="auto"/>
        </w:rPr>
      </w:pPr>
    </w:p>
    <w:p>
      <w:pPr>
        <w:jc w:val="right"/>
        <w:ind w:right="8320"/>
        <w:spacing w:after="0"/>
        <w:rPr>
          <w:sz w:val="20"/>
          <w:szCs w:val="20"/>
          <w:color w:val="auto"/>
        </w:rPr>
      </w:pPr>
      <w:r>
        <w:rPr>
          <w:rFonts w:ascii="Arial" w:cs="Arial" w:eastAsia="Arial" w:hAnsi="Arial"/>
          <w:sz w:val="18"/>
          <w:szCs w:val="18"/>
          <w:i w:val="1"/>
          <w:iCs w:val="1"/>
          <w:color w:val="auto"/>
        </w:rPr>
        <w:t>Intellectual Property Licenses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November 9, 2012, Kingsoft Group, as the licensor, and we, as the licensee, entered into a license agreement in relation to the licensing of certain trademarks and patents, which was later supplemented on January 28, 2013 and September 13, 2017 (collectively, the “2012 License Agreement”). On December 18, 2019, in connection with this offering, Kingsoft Group, as the licensor, and we, as the licensee, have entered into a trademark license agreement (the “Trademark License Agreement”) and a patent license agreement (the “Patent License Agreement”, and together with the Trademark License Agreement, the “2019 License Agreements”). The 2019 License Agreements superseded and replaced the 2012 License Agreement in its entirety.</w:t>
      </w:r>
    </w:p>
    <w:p>
      <w:pPr>
        <w:spacing w:after="0" w:line="192" w:lineRule="exact"/>
        <w:rPr>
          <w:sz w:val="20"/>
          <w:szCs w:val="20"/>
          <w:color w:val="auto"/>
        </w:rPr>
      </w:pPr>
    </w:p>
    <w:p>
      <w:pPr>
        <w:jc w:val="both"/>
        <w:ind w:left="120" w:right="60" w:firstLine="440"/>
        <w:spacing w:after="0" w:line="230" w:lineRule="exact"/>
        <w:rPr>
          <w:sz w:val="20"/>
          <w:szCs w:val="20"/>
          <w:color w:val="auto"/>
        </w:rPr>
      </w:pPr>
      <w:r>
        <w:rPr>
          <w:rFonts w:ascii="Arial" w:cs="Arial" w:eastAsia="Arial" w:hAnsi="Arial"/>
          <w:sz w:val="18"/>
          <w:szCs w:val="18"/>
          <w:color w:val="auto"/>
        </w:rPr>
        <w:t>Pursuant to the Trademark License Agreement, Kingsoft Group granted us the license of certain trademarks, including “Kingsoft Cloud” and “</w:t>
      </w:r>
      <w:r>
        <w:rPr>
          <w:rFonts w:ascii="SimSun" w:cs="SimSun" w:eastAsia="SimSun" w:hAnsi="SimSun"/>
          <w:sz w:val="16"/>
          <w:szCs w:val="16"/>
          <w:color w:val="auto"/>
        </w:rPr>
        <w:t>金山云</w:t>
      </w:r>
      <w:r>
        <w:rPr>
          <w:rFonts w:ascii="Arial" w:cs="Arial" w:eastAsia="Arial" w:hAnsi="Arial"/>
          <w:sz w:val="18"/>
          <w:szCs w:val="18"/>
          <w:color w:val="auto"/>
        </w:rPr>
        <w:t>,” in specified areas. The license remains valid until expiry of the trademarks or until certain conditions as agreed and stipulated in the Trademark License Agreement are no longer satisfied, whichever is earlier.</w:t>
      </w:r>
    </w:p>
    <w:p>
      <w:pPr>
        <w:spacing w:after="0" w:line="203"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Pursuant to the Patent License Agreement, Kingsoft Group granted us the license of certain patents in specified areas. The license remains valid until expiry of the patents or until certain conditions as agreed and stipulated in Patent License Agreement are no longer satisfied, whichever is earlier. We have accrued all the specified fees in relation to the licensed patents.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Transactions with Kingsoft Group</w:t>
      </w:r>
    </w:p>
    <w:p>
      <w:pPr>
        <w:spacing w:after="0" w:line="11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In 2017, 2018 and 2019, we generated public cloud service revenues of RMB49.6 million, RMB77.7 million and RMB109.2 million (US$15.7 million), respectively, from Kingsoft Group.</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40"/>
          </w:cols>
          <w:pgMar w:left="320" w:top="459" w:right="5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In 2017, 2018 and 2019, we incurred interest expenses for loans provided by Kingsoft Group of RMB30.2 million, RMB25.1 million and RMB4.9 million (US$0.7 million), respectively. In 2017, 2018 and 2019, we incurred expenses for rental of office space and administrative services provided by Kingsoft Group of RMB18.2 million, RMB21.3 million and RMB24.5 million (US$3.5 million), respectively.</w:t>
      </w:r>
    </w:p>
    <w:p>
      <w:pPr>
        <w:spacing w:after="0" w:line="16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2014, we entered into a loan agreement with Kingsoft Group, pursuant to which Kingsoft Group agreed to provide a facility of US$500.0 million to us to facilitate our daily operational cash flow needs. The maturity date of the facility is three years from the draw down date. As of December 31, 2018, RMB225.0 million was provided under this facility at an interest rate of 5.23% per annum. As of December 31, 2019, the entire outstanding balance was fully repaid.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we had amounts due from Kingsoft Group RMB43.7 million (US$6.3 million) for public cloud services.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of December 31, 2019, we had amounts due to Kingsoft Group RMB81.9 million (US$11.8 million), which mainly represent rental of office space and administrative services from Kingsoft Group.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Xiaomi</w:t>
      </w:r>
    </w:p>
    <w:p>
      <w:pPr>
        <w:spacing w:after="0" w:line="121"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In 2017, 2018 and 2019, we generated public cloud service revenues of RMB322.9 million, RMB546.6 million and RMB570.4 million (US$81.9 million), respectively, from Xiaomi. In 2017, we also generated enterprise cloud service revenues of RMB11.3 million from Xiaomi.</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fourth quarter of 2018, we incurred cost of revenues for services provided by Xiaomi of RMB18.9 million. In 2019, we purchased devices from Xiaomi of RMB2.7 million (US$0.4 million). In 2019, we incurred expenses for rental of a building from Xiaomi of RMB9.6 million (US$1.4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2019, we had amounts due from Xiaomi RMB63.9 million (US$9.2 million) for public cloud services we provided.</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we had amounts due to Xiaomi RMB22.4 million (US$3.2 million) for services provided by Xiaomi.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Cheetah Group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Cheetah Mobile Inc. is an entity that Kingsoft Group exercises significant influence over.</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2017, 2018 and 2019, we generated public cloud service revenues of RMB23.9 million, RMB6.2 million and RMB8.6 million (US$1.2 million), respectively, from Cheetah Group.</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we had amounts due from Cheetah Group RMB1.9 million (US$0.3 million) for public cloud services.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Management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December 31, 2019, we had amounts due from management of RMB24.5 million (US$3.5 million) representing interest bearing loans to senior executives, including Mr. Yulin Wang, Mr. Shouxing Liang, Mr. Wei Song, Mr. Tao Liu and Ms. Yonghong Hu, among others. In February 2020, the Company entered into an arrangement to allow those senior executives to settle its due on demand interest bearing loans (the “Settlement Arrangement”). Under the terms of the Settlement Arrangement, the Company will repurchase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40"/>
          </w:cols>
          <w:pgMar w:left="320" w:top="459" w:right="5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ordinary shares already issued to those senior executives for a cashless settlement of the outstanding loan amount including interest and related individual income taxes. The number of ordinary shares to be repurchased is calculated by dividing the outstanding amount on settlement date by US$0.70 per share, which is below the estimated fair value per ordinary share of US$0.76 determined by the Company with the assistance of an independent appraiser. Therefore, there is no compensation expense to be recorded as a result of this repurchase. On February 29, 2020, the Company repurchased 5,475,254 ordinary shares at nil consideration from those senior executives and the outstanding balances of the interest bearing loans to those senior executives were fully settled.</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900"/>
          </w:cols>
          <w:pgMar w:left="320" w:top="459" w:right="6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a Cayman Islands exempted company with limited liability and our affairs are governed by our memorandum and articles of association, as amended and restated from time to time, and Companies Law (2020 Revision) of the Cayman Islands, which we refer to as the “Companies Law” below, and the common law of the Cayman Islands.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of the date hereof, our authorized share capital consists of US$3,000,000 divided into (i) 1,282,750,429 ordinary shares with a par value of US$0.001 each, (ii) 458,116,000 convertible Series A preferred shares with a par value of US$0.001 each, and (iii) 153,603,600 convertible Series B preferred shares with a par value of US$0.001 each, (iv) 185,665,192 redeemable convertible Series C preferred shares with a par value of US$0.001 each, (v) 842,738,782 redeemable convertible Series D preferred shares with a par value of US$0.001 each, and (vi) 77,125,997 redeemable convertible Series D+ preferred shares with a par value of US$0.001 each.</w:t>
      </w:r>
    </w:p>
    <w:p>
      <w:pPr>
        <w:spacing w:after="0" w:line="18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As of the date of this prospectus, there are 2,619,566,493 ordinary shares on an as-converted basis outstanding, 5,475,254 ordinary shares we repurchased in February 2020 and a total of 169,294,128 ordinary shares issued but deemed to be not outstanding as of the date of this prospectus, consisting of (i) the 165,694,128 ordinary shares underlying share awards under our share incentive plans that are issued but deemed to be not outstanding as of the date of this prospectus and held by TMF Trust (HK) Limited, as trustee of the share awards, and (ii) the 3,600,000 ordinary shares underlying share awards under our share incentive plans that are issued but deemed to be not outstanding and held by River Jade Holdings Limited, a British Virgin Islands company ultimately controlled by Mr. Wang. All of our issued and outstanding ordinary shares are fully paid. Immediately prior to the completion of this offering, all of our issued and outstanding preferred shares will be redesignated or converted into ordinary shares on a one-for-one basis. Among the ordinary shares issued but deemed to be not outstanding as of the date of this prospectus, an aggregate of 9,400,000 ordinary shares underlying share awards are subject to accelerated vesting and will become outstanding upon completion of this offering, including (i) 3,600,000 ordinary shares held by River Jade Holdings Limited and (ii) 5,800,000 ordinary shares held by TMF Trust (HK) Limited.</w:t>
      </w:r>
    </w:p>
    <w:p>
      <w:pPr>
        <w:spacing w:after="0" w:line="16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have adopted an amended and restated memorandum and articles of association, which will become effective immediately prior to the completion of this offering and replace the current memorandum and articles of association in its entirety immediately prior to the completion of this offering. Our authorized share capital immediately prior to the completion of the offering will be US$4,000,000 divided into 4,000,000,000 ordinary shares of a par value of US$0.001 each. We will issue 375,000,000 ordinary shares represented by ADSs in this offering. All options, regardless of grant dates, will entitle holders to an equivalent number of ordinary shares once the vesting and exercising conditions are met.</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following are summaries of material provisions of our post-offering amended and restated memorandum and articles of association and the Companies Law insofar as they relate to the material terms of our ordinary shares that we expect will become effective immediately prior to the completion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Immediately after the completion of this offering, our issued and outstanding ordinary shares will consist of 4,000,000,000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assuming the underwriters do not exercise their option to acquire additional ADSs. All of our outstanding ordinary shares are fully paid and non-assessable. Certificates representing the ordinary shares are issued in registered form. Our shareholders who are non-residents of the Cayman Islands may freely hold and transfer their ordinary shares.</w:t>
      </w:r>
    </w:p>
    <w:p>
      <w:pPr>
        <w:spacing w:after="0" w:line="187"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Subject to the Companies Law, our directors may declare dividends in any currency to be paid to our shareholders. Dividends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Law. Except in so far as the rights attaching to, or the terms of issue of, any share otherwise provides, (1) all dividends shall be declared and paid according to the amounts paid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may also pay interim dividends, whenever our financial position, in the opinion of our directors, justifies such payment.</w:t>
      </w:r>
    </w:p>
    <w:p>
      <w:pPr>
        <w:spacing w:after="0" w:line="225"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Our directors may deduct from any dividend or bonus payable to any shareholder all sums of money (if any) presently payable by such shareholder to us on account of calls or otherwise.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9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On a show of hands each shareholder is entitled to one vote or, on a poll, each shareholder is entitled to one vote for ordinary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poll may be demanded by the chairman of such meeting or any shareholder present in person or by proxy.</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92" w:lineRule="exact"/>
        <w:rPr>
          <w:sz w:val="20"/>
          <w:szCs w:val="20"/>
          <w:color w:val="auto"/>
        </w:rPr>
      </w:pPr>
    </w:p>
    <w:p>
      <w:pPr>
        <w:jc w:val="both"/>
        <w:ind w:left="120" w:right="16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Transfer of Ordinary Shares. </w:t>
      </w:r>
      <w:r>
        <w:rPr>
          <w:rFonts w:ascii="Arial" w:cs="Arial" w:eastAsia="Arial" w:hAnsi="Arial"/>
          <w:sz w:val="17"/>
          <w:szCs w:val="17"/>
          <w:color w:val="auto"/>
        </w:rPr>
        <w:t>Subject to any applicable restrictions set forth in our articles of association, including, for example,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directors may decline to register any transfer of any share which is not paid up or on which we have a lien. Our directors may also decline to register any transfer of any share unless:</w:t>
      </w:r>
    </w:p>
    <w:p>
      <w:pPr>
        <w:spacing w:after="0" w:line="76" w:lineRule="exact"/>
        <w:rPr>
          <w:sz w:val="20"/>
          <w:szCs w:val="20"/>
          <w:color w:val="auto"/>
        </w:rPr>
      </w:pPr>
    </w:p>
    <w:p>
      <w:pPr>
        <w:ind w:left="1080" w:right="10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Liquidation. </w:t>
      </w:r>
      <w:r>
        <w:rPr>
          <w:rFonts w:ascii="Arial" w:cs="Arial" w:eastAsia="Arial" w:hAnsi="Arial"/>
          <w:sz w:val="17"/>
          <w:szCs w:val="17"/>
          <w:color w:val="auto"/>
        </w:rPr>
        <w:t>Subject to any future shares which are issued with specific rights, (1) if we are wound up and the assets available for distribution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we are wound up (whether the liquidation is voluntary or by the court), the liquidator may with the sanction of our special resolution and any other sanction required by the Companies Law,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7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2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Calls on Ordinary Shares and Forfeiture of Ordinary Shares. </w:t>
      </w:r>
      <w:r>
        <w:rPr>
          <w:rFonts w:ascii="Arial" w:cs="Arial" w:eastAsia="Arial" w:hAnsi="Arial"/>
          <w:sz w:val="18"/>
          <w:szCs w:val="18"/>
          <w:color w:val="auto"/>
        </w:rPr>
        <w:t>Subject to our memorandum and articles of association and to the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allotment our board of directors may from time to time make calls upon shareholders for any amounts unpaid on their ordinary shares in a notice served to such shareholders at least 14 clear days prior to the specified time of payment.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that have been called upon and remain unpaid are subject to forfeiture.</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Redemption, Repurchase and Surrender of Ordinary Shares. </w:t>
      </w:r>
      <w:r>
        <w:rPr>
          <w:rFonts w:ascii="Arial" w:cs="Arial" w:eastAsia="Arial" w:hAnsi="Arial"/>
          <w:sz w:val="18"/>
          <w:szCs w:val="18"/>
          <w:color w:val="auto"/>
        </w:rPr>
        <w:t>We are empowered by the Companies Law and our amended and restated articles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association to purchase our own shares, subject to certain restrictions.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directors may only exercise this power on our behalf, subject to the Companies Law, our memorandum and articles of association and to any applicable requirements imposed from time to time by the Nasdaq, the Securities and Exchange Commission, or by any other recognized stock exchange on which our securities are listed.</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Variations of Rights of Shares. </w:t>
      </w:r>
      <w:r>
        <w:rPr>
          <w:rFonts w:ascii="Arial" w:cs="Arial" w:eastAsia="Arial" w:hAnsi="Arial"/>
          <w:sz w:val="18"/>
          <w:szCs w:val="18"/>
          <w:color w:val="auto"/>
        </w:rPr>
        <w:t>If at any time, our share capital is divided into different classes of shares, all or any of the special rights attached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 class of shares may, subject to the provisions of the Companies Law,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ordinary shares have no general right under Cayman Islands law to inspect or obtain copies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list of shareholders or our corporate records. However, we will provide our shareholders with annual audited financial statements. See “Where You Can Find Additional Information.”</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Issuance of Additional Shares. </w:t>
      </w:r>
      <w:r>
        <w:rPr>
          <w:rFonts w:ascii="Arial" w:cs="Arial" w:eastAsia="Arial" w:hAnsi="Arial"/>
          <w:sz w:val="16"/>
          <w:szCs w:val="16"/>
          <w:color w:val="auto"/>
        </w:rPr>
        <w:t>Our post-offering amended and restated memorandum of association authorizes our board of directors to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12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29"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post-offering amended and restated memorandum and articles of association may discourage,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delay or prevent a change of control of our company or management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accordance with Section 48 of the Companies Law,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Conyers Trust Company (Cayman) Limited, Cricket Square, Hutchins Drive, P.O. Box 2681, Grand Cayman, KY1-1111, Cayman Islands, which provides us with corporate administrative services. We will perform the procedures necessary to register the shares in the register of members as required in “PART III—Distribution of Capital and Liability of Members of Companies and Associations” of the Companies Law, and will ensure that the entries on the register of members are made without any delay.</w:t>
      </w:r>
    </w:p>
    <w:p>
      <w:pPr>
        <w:spacing w:after="0" w:line="164"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Law.</w:t>
      </w:r>
    </w:p>
    <w:p>
      <w:pPr>
        <w:spacing w:after="0" w:line="14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depositary will hold a share certificate evidencing the depositary as the registered holder of shares underlying the ADSs. Further, Section 46 of the Companies Law provides for recourse to be available to our investors in case we fail to update our register of members.</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the event we fail to update our register of member, the depositary, as the aggrieved party, may apply for an order with the courts of the Cayman Islands for the rectification of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the Companies Law differs from laws applicable to United States corporations and their shareholders. Set forth below is a summary of the significant differences between the provisions of the Companies Law applicable to us and the laws applicable to United States corporations and companies incorporated in the State of Delaware.</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4" w:lineRule="exact"/>
        <w:rPr>
          <w:sz w:val="20"/>
          <w:szCs w:val="20"/>
          <w:color w:val="auto"/>
        </w:rPr>
      </w:pPr>
    </w:p>
    <w:p>
      <w:pPr>
        <w:ind w:left="120" w:right="100" w:hanging="4"/>
        <w:spacing w:after="0" w:line="253" w:lineRule="auto"/>
        <w:tabs>
          <w:tab w:leader="none" w:pos="3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Separate from the statutory provisions relating to mergers and consolidations, the Companies Law also contains statutory provisions that facilitate the reconstruction and amalgamation of companies by way of schemes of arrangement,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3"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Companies Law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8"/>
          <w:szCs w:val="18"/>
          <w:i w:val="1"/>
          <w:iCs w:val="1"/>
          <w:color w:val="auto"/>
        </w:rPr>
        <w:t>Foss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Harbottle </w:t>
      </w:r>
      <w:r>
        <w:rPr>
          <w:rFonts w:ascii="Arial" w:cs="Arial" w:eastAsia="Arial" w:hAnsi="Arial"/>
          <w:sz w:val="18"/>
          <w:szCs w:val="18"/>
          <w:color w:val="auto"/>
        </w:rPr>
        <w:t>and the exceptions thereto) so that a non-controlling shareholder may be permitted to commence a class action against or derivative 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 of our company to challenge actions where:</w:t>
      </w:r>
    </w:p>
    <w:p>
      <w:pPr>
        <w:spacing w:after="0" w:line="93"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those who control our company are perpetrating a “fraud on the minority.”</w:t>
      </w:r>
    </w:p>
    <w:p>
      <w:pPr>
        <w:spacing w:after="0" w:line="22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6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76"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Under the Delaware General Corporation Law, a shareholder has the right to put any proposal before the annual meeting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9"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With respect to shareholder proposals, Cayman Islands law is essentially the same as Delaware law. The Companies Law does not provide shareholders with an express right to put forth any proposal before an annual meeting of the shareholders. However, the Companies Law may provide shareholders with limited rights to requisition a general meeting, but such rights must be stipulated in the articles of association of the Company.</w:t>
      </w:r>
    </w:p>
    <w:p>
      <w:pPr>
        <w:spacing w:after="0" w:line="14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w:t>
      </w:r>
    </w:p>
    <w:p>
      <w:pPr>
        <w:spacing w:after="0" w:line="4" w:lineRule="exact"/>
        <w:rPr>
          <w:sz w:val="20"/>
          <w:szCs w:val="20"/>
          <w:color w:val="auto"/>
        </w:rPr>
      </w:pPr>
    </w:p>
    <w:p>
      <w:pPr>
        <w:ind w:left="120" w:right="120" w:hanging="4"/>
        <w:spacing w:after="0" w:line="255" w:lineRule="auto"/>
        <w:tabs>
          <w:tab w:leader="none" w:pos="42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December 7, 2018, we issued 62,280,000 ordinary shares to TMF Trust (HK) Limited, as trustee of the share awards, in relation to the share awards under our share incentive plans.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November 6, 2019, we issued 141,850,828 ordinary shares to TMF Trust (HK) Limited, as trustee of the share awards, in relation to the share awards under our share incentive plans.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21, 2017, we issued 58,922,728 Series D preferred shares to Kingsoft Corporation Limited for a consideration of US$50,000,000.</w:t>
      </w:r>
    </w:p>
    <w:p>
      <w:pPr>
        <w:spacing w:after="0" w:line="24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September 21, 2017, we issued 58,922,728 Series D preferred shares to METAWIT CAPITAL L.P. (formerly known as LIYUE JINSHI INVESTMENT L.P.) for a consideration of US$50,000,000.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December 6, 2017, we issued 117,845,456 Series D preferred shares to Kingsoft Corporation Limited for a consideration of US$100,000,000.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December 6, 2017, we issued 81,313,365 Series D preferred shares to New Cloud Ltd. for a consideration of US$69,000,000.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28, 2018, we issued 129,630,002 Series D preferred shares to Kingsoft Corporation Limited for a consideration of US$110,000,000.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28, 2018, we issued 58,922,728 Series D preferred shares to METAWIT CAPITAL L.P. for a consideration of US$50,000,000.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28, 2018, we issued 11,784,546 Series D preferred shares to Shunwei Growth III Limited for a consideration of US$10,000,000.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28, 2018, we issued 58,922,728 Series D preferred shares to Precious Steed Limited for a consideration of US$50,000,000.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29, 2018, we issued 114,971,205 Series D preferred shares to Kingsoft Corporation Limited for a consideration of US$100,000,000.</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March 29, 2018, we issued 57,485,603 Series D preferred shares to FutureX AI Opportunity Fund LP (acting through FutureX Innovation Limited as its general partner) for a consideration of US$50,000,000.</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29, 2018, we issued 57,485,602 Series D preferred shares to FutureX Innovation SPC (acting for and on behalf of New Technology Fund I SP as one of its segregated portfolios) for a consideration of US$50,000,000.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25, 2018, we issued 36,532,091 Series D preferred shares to New Cloud Ltd. for a consideration of US$31,000,000.</w:t>
      </w:r>
    </w:p>
    <w:p>
      <w:pPr>
        <w:spacing w:after="0" w:line="225" w:lineRule="exact"/>
        <w:rPr>
          <w:sz w:val="20"/>
          <w:szCs w:val="20"/>
          <w:color w:val="auto"/>
        </w:rPr>
      </w:pPr>
    </w:p>
    <w:p>
      <w:pPr>
        <w:ind w:left="120" w:right="1060" w:firstLine="440"/>
        <w:spacing w:after="0" w:line="277" w:lineRule="auto"/>
        <w:rPr>
          <w:sz w:val="20"/>
          <w:szCs w:val="20"/>
          <w:color w:val="auto"/>
        </w:rPr>
      </w:pPr>
      <w:r>
        <w:rPr>
          <w:rFonts w:ascii="Arial" w:cs="Arial" w:eastAsia="Arial" w:hAnsi="Arial"/>
          <w:sz w:val="18"/>
          <w:szCs w:val="18"/>
          <w:color w:val="auto"/>
        </w:rPr>
        <w:t>On December 27, 2019, we issued 55,089,998 Series D+ preferred shares to China Internet Investment Fund for a consideration of US$50,000,000.</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20"/>
          </w:cols>
          <w:pgMar w:left="320" w:top="459" w:right="5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27, 2019, we issued 22,035,999 Series D+ preferred shares to Design Time Limited for a consideration of US$20,000,000.</w:t>
      </w:r>
    </w:p>
    <w:p>
      <w:pPr>
        <w:spacing w:after="0" w:line="23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All of our preferred shares will automatically convert into ordinary shares upon the completion of this offering at an initial conversion ratio of one-to-one, adjusted for share splits, share dividends, recapitalizations and similar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and Award Grants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have granted options to purchase our ordinary shares and awards to certain of our executive officers and employees. See “Management— Share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currently effective shareholders agreement was entered into on December 27, 2019 by and among us, our shareholders, and certain other parties named therein.</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current shareholders agreement provides for certain special rights, including right of participation, drag-along right and information and inspection right and contains provision governing the board of directors and other corporate governance matters. These special rights, as well as certain corporate governance provisions, will automatically terminate upon the completion of this offering. Furthermore, on April 30, 2020, we, our shareholders and certain other parties entered into a termination agreement, pursuant to which the parties agreed to terminate all the other corporate governance provisions, along with certain other provisions, upon the completion of this offering.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entered into a registration rights agreement with ChinaAMC Special Investment Limited, Celestial Power Limited, Metawit Capital L.P., New Cloud Ltd., Precious Steed Limited, Shunwei Growth III Limited, FutureX Innovation SPC—Special Opportunity Fund VI SP, FutureX Innovation SPC (acting for and on behalf of New Technology Fund I SP as one of its segregated portfolios), FutureX AI Opportunity Fund LP (acting through FutureX Innovation Limited as its general partner), FutureX Innovation SPC (for the account of and on behalf of Special Opportunity Fund V SP), Howater Innovation I Limited Partnership, China Internet Investment Fund, Design Time Limited, Xiaomi Corporation and Kingsoft Corporation Limited on April 7, 2020. Pursuant to the registration rights agreement, we have granted certain registration rights to such shareholders as described below, which rights will terminate upon the earliest to occur of (a) the fifth anniversary of the consummation of an initial public offering; or (b) such time as Rule 144 or another similar exemption under the Securities Act is available for the sale of all of such shareholders’ registrable securities without limitation during a thirty-day period without registration. As of the date of this prospectus, such shareholders held an aggregate of 458,116,000 Series A preferred shares, an aggregate of 153,603,600 Series B preferred shares, an aggregate of 185,665,192 Series C preferred shares, an aggregate of 842,738,782 Series D preferred shares, an aggregate of 77,125,997 Series D+ preferred shares, and an aggregate of 760,000,000 ordinary shares.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At any time after the earlier of (i) December 27, 2023, or (ii) the first anniversary of the consummation of an initial public offering, holders holding in the aggregate not less than 30% of the registrable securities then outstanding may make a written request to the Company to register, and the Company shall use its best efforts to register, under the Securities Act the number of registrable securities specified in such requests,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Company shall not be obligated to effect more than two such demand registrations and (ii) the Company shall not be obligated to effect a demand registration if the initiating holders propose to sell their registrable securities in an amount less than 30% of the registrable securities then outstanding.</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the managing underwriters or underwriters selected of any underwritten offering believe that the registration of all or part of the registrable securities which the holders have requested to be included would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materially adversely affect the success of such public offering, then the Company shall be required to include in the underwritten offering, to the extent of the amount that the managing underwriters or underwriters selected believe may be sold without causing such adverse effect,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all of the registrable securities to be offered for the account of the holders, pro rata based on the number of registrable securities owned by such holders; and </w:t>
      </w:r>
      <w:r>
        <w:rPr>
          <w:rFonts w:ascii="Arial" w:cs="Arial" w:eastAsia="Arial" w:hAnsi="Arial"/>
          <w:sz w:val="18"/>
          <w:szCs w:val="18"/>
          <w:u w:val="single" w:color="auto"/>
          <w:color w:val="auto"/>
        </w:rPr>
        <w:t>second</w:t>
      </w:r>
      <w:r>
        <w:rPr>
          <w:rFonts w:ascii="Arial" w:cs="Arial" w:eastAsia="Arial" w:hAnsi="Arial"/>
          <w:sz w:val="18"/>
          <w:szCs w:val="18"/>
          <w:color w:val="auto"/>
        </w:rPr>
        <w:t>, any other securities requested to be included in such offering.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640" w:firstLine="440"/>
        <w:spacing w:after="0" w:line="311" w:lineRule="auto"/>
        <w:rPr>
          <w:sz w:val="20"/>
          <w:szCs w:val="20"/>
          <w:color w:val="auto"/>
        </w:rPr>
      </w:pPr>
      <w:r>
        <w:rPr>
          <w:rFonts w:ascii="Arial" w:cs="Arial" w:eastAsia="Arial" w:hAnsi="Arial"/>
          <w:sz w:val="16"/>
          <w:szCs w:val="16"/>
          <w:color w:val="auto"/>
        </w:rPr>
        <w:t>If the Company proposes to register any ordinary shares in connection with an offering by the Company for its own account (other than a registration utilizing Form F-4 or F-8 or any successor thereto) or for the account of any shareholder of the Company other than a holder of the registrable securities, then each holder shall have the right to have all or any portion of its registrable securities included in such registration.</w:t>
      </w:r>
    </w:p>
    <w:p>
      <w:pPr>
        <w:spacing w:after="0" w:line="149"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If the managing underwriters of any underwritten offering determine that the registration of all or part of the registrable securities which the holders have requested to be included would materially adversely affect the success of such offering, then the Company shall be required to include in such registration, to the extent of the amount that the managing underwriters believe may be sold without causing such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all of the securities to be offered for the account of the Company;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the registrable securities to be offered for the account of the holders, pro rata based on the number of registrable securities owned by each such holder; and </w:t>
      </w:r>
      <w:r>
        <w:rPr>
          <w:rFonts w:ascii="Arial" w:cs="Arial" w:eastAsia="Arial" w:hAnsi="Arial"/>
          <w:sz w:val="16"/>
          <w:szCs w:val="16"/>
          <w:u w:val="single" w:color="auto"/>
          <w:color w:val="auto"/>
        </w:rPr>
        <w:t>third</w:t>
      </w:r>
      <w:r>
        <w:rPr>
          <w:rFonts w:ascii="Arial" w:cs="Arial" w:eastAsia="Arial" w:hAnsi="Arial"/>
          <w:sz w:val="16"/>
          <w:szCs w:val="16"/>
          <w:color w:val="auto"/>
        </w:rPr>
        <w:t>, any other securities requested to be included in such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F-3 Registration Rights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At any time following the consummation of an IPO, after the Company becomes eligible to use Form F-3 in connection with a public offering of its securities, holder(s) holding in the aggregate not less than 30% of the registrable securities may make a written request to the Company to register, and the Company shall use its commercially reasonable efforts to register, under the Securities Act on Form F-3 the number of registrable securities specified in such request within 60 days after the Company receives such written request. However, the Company shall not be required to effect any such registration (a) within 90 days after the effective date of any other registration statement of the Company; (b) if within the twelve month period preceding the date of such request, the Company has effected two such registrations on Form F-3; (c) if Form F-3 is not available for such offering by such holders; or (d) if holders requesting inclusion of registrable securities in such registration propose to sell such registrable securities at an aggregate price to the public of less than US$2,000,000.</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If the managing underwriters or underwriters selected of any underwritten offering believe that the registration of all or part of the registrable securities which the holders have requested to be included would materially adversely affect the success of such public offering, then the Company shall be required to include in the underwritten offering, to the extent of the amount that the managing underwriters or underwriters selected believe may be sold without causing such adverse effect,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all of the registrable securities to be offered for the account of the holders, pro rata based on the number of registrable securities owned by such holders; and </w:t>
      </w:r>
      <w:r>
        <w:rPr>
          <w:rFonts w:ascii="Arial" w:cs="Arial" w:eastAsia="Arial" w:hAnsi="Arial"/>
          <w:sz w:val="16"/>
          <w:szCs w:val="16"/>
          <w:u w:val="single" w:color="auto"/>
          <w:color w:val="auto"/>
        </w:rPr>
        <w:t>second</w:t>
      </w:r>
      <w:r>
        <w:rPr>
          <w:rFonts w:ascii="Arial" w:cs="Arial" w:eastAsia="Arial" w:hAnsi="Arial"/>
          <w:sz w:val="16"/>
          <w:szCs w:val="16"/>
          <w:color w:val="auto"/>
        </w:rPr>
        <w:t>, any other securities requested to be included in such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Expenses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shall pay all expenses arising from or incident to its performance of, or compliance with, the registration rights agreement, subject to certain exceptions.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Bank of New York Mellon, as depositary, will register and deliver American Depositary Shares, also referred to as ADSs. Each ADS will represent 15 ordinary shares (or a right to receive 15 ordinary shares)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on page 206 “Where You Can Find Additional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7"/>
          <w:szCs w:val="17"/>
          <w:i w:val="1"/>
          <w:iCs w:val="1"/>
          <w:color w:val="auto"/>
        </w:rPr>
        <w:t>If the exchange rates fluctuate</w:t>
      </w:r>
      <w:r>
        <w:rPr>
          <w:rFonts w:ascii="Arial" w:cs="Arial" w:eastAsia="Arial" w:hAnsi="Arial"/>
          <w:sz w:val="17"/>
          <w:szCs w:val="17"/>
          <w:color w:val="auto"/>
        </w:rPr>
        <w:t xml:space="preserve"> </w:t>
      </w:r>
      <w:r>
        <w:rPr>
          <w:rFonts w:ascii="Arial" w:cs="Arial" w:eastAsia="Arial" w:hAnsi="Arial"/>
          <w:sz w:val="17"/>
          <w:szCs w:val="17"/>
          <w:i w:val="1"/>
          <w:iCs w:val="1"/>
          <w:color w:val="auto"/>
        </w:rPr>
        <w:t>during a time when the depositary cannot convert the foreign currency, you may lose some of the value of the distribution.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i w:val="1"/>
          <w:i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ADSs to the extent it would require delivery of a fraction of a deposited share or other security. The depositary may charge you a fee and its expenses for instructing the custodian regarding delivery of deposited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248"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Persons depositing or withdrawing shares or</w:t>
      </w:r>
    </w:p>
    <w:p>
      <w:pPr>
        <w:spacing w:after="0" w:line="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ind w:left="460" w:hanging="254"/>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$5.00 (or less) per 100 ADSs (or portion of 100 ADSs)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460" w:hanging="254"/>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$.05 (or less) per ADS</w:t>
      </w:r>
    </w:p>
    <w:p>
      <w:pPr>
        <w:spacing w:after="0" w:line="117" w:lineRule="exact"/>
        <w:rPr>
          <w:rFonts w:ascii="Arial" w:cs="Arial" w:eastAsia="Arial" w:hAnsi="Arial"/>
          <w:sz w:val="18"/>
          <w:szCs w:val="18"/>
          <w:color w:val="auto"/>
        </w:rPr>
      </w:pPr>
    </w:p>
    <w:p>
      <w:pPr>
        <w:jc w:val="both"/>
        <w:ind w:left="480" w:right="60" w:hanging="274"/>
        <w:spacing w:after="0" w:line="263" w:lineRule="auto"/>
        <w:tabs>
          <w:tab w:leader="none" w:pos="4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1"/>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32829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269" w:right="840" w:hanging="269"/>
        <w:spacing w:after="0" w:line="339" w:lineRule="auto"/>
        <w:tabs>
          <w:tab w:leader="none" w:pos="25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Issuance of ADSs, including issuances resulting from a distribution of shares or rights or other property</w:t>
      </w:r>
    </w:p>
    <w:p>
      <w:pPr>
        <w:spacing w:after="0" w:line="31" w:lineRule="exact"/>
        <w:rPr>
          <w:rFonts w:ascii="Arial" w:cs="Arial" w:eastAsia="Arial" w:hAnsi="Arial"/>
          <w:sz w:val="16"/>
          <w:szCs w:val="16"/>
          <w:color w:val="auto"/>
        </w:rPr>
      </w:pPr>
    </w:p>
    <w:p>
      <w:pPr>
        <w:ind w:left="269" w:right="120" w:hanging="269"/>
        <w:spacing w:after="0" w:line="277" w:lineRule="auto"/>
        <w:tabs>
          <w:tab w:leader="none" w:pos="2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75" w:lineRule="exact"/>
        <w:rPr>
          <w:rFonts w:ascii="Arial" w:cs="Arial" w:eastAsia="Arial" w:hAnsi="Arial"/>
          <w:sz w:val="18"/>
          <w:szCs w:val="18"/>
          <w:color w:val="auto"/>
        </w:rPr>
      </w:pPr>
    </w:p>
    <w:p>
      <w:pPr>
        <w:ind w:left="249" w:hanging="249"/>
        <w:spacing w:after="0"/>
        <w:tabs>
          <w:tab w:leader="none" w:pos="2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117" w:lineRule="exact"/>
        <w:rPr>
          <w:rFonts w:ascii="Arial" w:cs="Arial" w:eastAsia="Arial" w:hAnsi="Arial"/>
          <w:sz w:val="18"/>
          <w:szCs w:val="18"/>
          <w:color w:val="auto"/>
        </w:rPr>
      </w:pPr>
    </w:p>
    <w:p>
      <w:pPr>
        <w:ind w:left="269" w:right="140" w:hanging="269"/>
        <w:spacing w:after="0" w:line="263" w:lineRule="auto"/>
        <w:tabs>
          <w:tab w:leader="none" w:pos="2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ectPr>
          <w:pgSz w:w="11900" w:h="16838" w:orient="portrait"/>
          <w:cols w:equalWidth="0" w:num="2">
            <w:col w:w="5760" w:space="291"/>
            <w:col w:w="5069"/>
          </w:cols>
          <w:pgMar w:left="320" w:top="459" w:right="459" w:bottom="1440" w:gutter="0" w:footer="0" w:header="0"/>
          <w:type w:val="continuous"/>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Persons depositing or withdrawing shares or</w:t>
      </w:r>
    </w:p>
    <w:p>
      <w:pPr>
        <w:spacing w:after="0" w:line="4"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5744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81" w:lineRule="exact"/>
        <w:rPr>
          <w:sz w:val="20"/>
          <w:szCs w:val="20"/>
          <w:color w:val="auto"/>
        </w:rPr>
      </w:pPr>
    </w:p>
    <w:p>
      <w:pPr>
        <w:ind w:left="460" w:hanging="254"/>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$.05 (or less) per ADS per calendar year</w:t>
      </w:r>
    </w:p>
    <w:p>
      <w:pPr>
        <w:spacing w:after="0" w:line="117" w:lineRule="exact"/>
        <w:rPr>
          <w:rFonts w:ascii="Arial" w:cs="Arial" w:eastAsia="Arial" w:hAnsi="Arial"/>
          <w:sz w:val="18"/>
          <w:szCs w:val="18"/>
          <w:color w:val="auto"/>
        </w:rPr>
      </w:pPr>
    </w:p>
    <w:p>
      <w:pPr>
        <w:ind w:left="460" w:hanging="254"/>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Registration or transfer fees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460" w:hanging="254"/>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Expenses of the depositary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80" w:hanging="274"/>
        <w:spacing w:after="0" w:line="263" w:lineRule="auto"/>
        <w:tabs>
          <w:tab w:leader="none" w:pos="4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5" w:lineRule="exact"/>
        <w:rPr>
          <w:rFonts w:ascii="Arial" w:cs="Arial" w:eastAsia="Arial" w:hAnsi="Arial"/>
          <w:sz w:val="18"/>
          <w:szCs w:val="18"/>
          <w:color w:val="auto"/>
        </w:rPr>
      </w:pPr>
    </w:p>
    <w:p>
      <w:pPr>
        <w:ind w:left="480" w:right="60" w:hanging="274"/>
        <w:spacing w:after="0" w:line="277" w:lineRule="auto"/>
        <w:tabs>
          <w:tab w:leader="none" w:pos="4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369"/>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32829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7" w:lineRule="exact"/>
        <w:rPr>
          <w:sz w:val="20"/>
          <w:szCs w:val="20"/>
          <w:color w:val="auto"/>
        </w:rPr>
      </w:pPr>
    </w:p>
    <w:p>
      <w:pPr>
        <w:ind w:left="249" w:hanging="249"/>
        <w:spacing w:after="0"/>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117" w:lineRule="exact"/>
        <w:rPr>
          <w:rFonts w:ascii="Arial" w:cs="Arial" w:eastAsia="Arial" w:hAnsi="Arial"/>
          <w:sz w:val="18"/>
          <w:szCs w:val="18"/>
          <w:color w:val="auto"/>
        </w:rPr>
      </w:pPr>
    </w:p>
    <w:p>
      <w:pPr>
        <w:ind w:left="269" w:right="60" w:hanging="269"/>
        <w:spacing w:after="0" w:line="263" w:lineRule="auto"/>
        <w:tabs>
          <w:tab w:leader="none" w:pos="25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5" w:lineRule="exact"/>
        <w:rPr>
          <w:rFonts w:ascii="Arial" w:cs="Arial" w:eastAsia="Arial" w:hAnsi="Arial"/>
          <w:sz w:val="18"/>
          <w:szCs w:val="18"/>
          <w:color w:val="auto"/>
        </w:rPr>
      </w:pPr>
    </w:p>
    <w:p>
      <w:pPr>
        <w:ind w:left="269" w:right="440" w:hanging="269"/>
        <w:spacing w:after="0" w:line="277" w:lineRule="auto"/>
        <w:tabs>
          <w:tab w:leader="none" w:pos="2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Cable (including SWIFT) and facsimile transmissions (when expressly provided in the deposit agreement)</w:t>
      </w:r>
    </w:p>
    <w:p>
      <w:pPr>
        <w:spacing w:after="0" w:line="75" w:lineRule="exact"/>
        <w:rPr>
          <w:rFonts w:ascii="Arial" w:cs="Arial" w:eastAsia="Arial" w:hAnsi="Arial"/>
          <w:sz w:val="18"/>
          <w:szCs w:val="18"/>
          <w:color w:val="auto"/>
        </w:rPr>
      </w:pPr>
    </w:p>
    <w:p>
      <w:pPr>
        <w:ind w:left="249" w:hanging="249"/>
        <w:spacing w:after="0"/>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130" w:lineRule="exact"/>
        <w:rPr>
          <w:rFonts w:ascii="Arial" w:cs="Arial" w:eastAsia="Arial" w:hAnsi="Arial"/>
          <w:sz w:val="18"/>
          <w:szCs w:val="18"/>
          <w:color w:val="auto"/>
        </w:rPr>
      </w:pPr>
    </w:p>
    <w:p>
      <w:pPr>
        <w:ind w:left="249" w:hanging="249"/>
        <w:spacing w:after="0"/>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49" w:hanging="249"/>
        <w:spacing w:after="0"/>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480" w:space="571"/>
            <w:col w:w="5069"/>
          </w:cols>
          <w:pgMar w:left="320" w:top="459" w:right="459" w:bottom="1440" w:gutter="0" w:footer="0" w:header="0"/>
          <w:type w:val="continuous"/>
        </w:sectPr>
      </w:pPr>
    </w:p>
    <w:p>
      <w:pPr>
        <w:ind w:left="120" w:right="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80" w:right="46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auto"/>
        </w:rPr>
        <w:t>but</w:t>
      </w:r>
      <w:r>
        <w:rPr>
          <w:rFonts w:ascii="Arial" w:cs="Arial" w:eastAsia="Arial" w:hAnsi="Arial"/>
          <w:sz w:val="18"/>
          <w:szCs w:val="18"/>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80" w:right="4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80" w:right="38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80" w:right="80" w:hanging="424"/>
        <w:spacing w:after="0" w:line="308"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Upon completion of this offering, we will have 25,000,000 ADSs outstanding, representing 375,000,000 ordinary shares, or approximately 12.5%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and while the ADSs have been approved for listing on the Nasdaq, we cannot assure you that a regular trading market will develop in the ADSs. We do not expect that a trading market will develop for our ordinary shares not represented by the ADSs.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our directors, executive officers, existing shareholders and holders of share-based awards have agreed, subject to some exceptions, not to transfer or dispose of, directly or indirectly, any of our ordinary shares, in the form of ADSs or otherwise, or any securities convertible into or exchangeable or exercisable for our ordinary shares, in the form of ADSs or otherwise, for a period of 180 days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pacing w:after="0" w:line="131" w:lineRule="exact"/>
        <w:rPr>
          <w:sz w:val="20"/>
          <w:szCs w:val="20"/>
          <w:color w:val="auto"/>
        </w:rPr>
      </w:pPr>
    </w:p>
    <w:p>
      <w:pPr>
        <w:ind w:left="1080" w:right="14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will equal approximately 30,039,665 ordinary shares immediately after this offering, assuming the underwriters do not exercise their option to purchase additional ADSs; or</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Nasdaq during the four calendar weeks preceding the date on which notice of the sale is filed with the SEC.</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60"/>
          </w:cols>
          <w:pgMar w:left="320" w:top="459" w:right="5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spacing w:after="0" w:line="342" w:lineRule="auto"/>
        <w:rPr>
          <w:sz w:val="20"/>
          <w:szCs w:val="20"/>
          <w:color w:val="auto"/>
        </w:rPr>
      </w:pPr>
      <w:r>
        <w:rPr>
          <w:rFonts w:ascii="Arial" w:cs="Arial" w:eastAsia="Arial" w:hAnsi="Arial"/>
          <w:sz w:val="16"/>
          <w:szCs w:val="16"/>
          <w:color w:val="auto"/>
        </w:rPr>
        <w:t>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completion of this offering, certain holders of our ordinary shares or their transferees will be entitled to request that we register their shares under the Securities Act, following the expiration of the lock-up agreements described above. See “Description of Share Capital—Registration Rights Agreement.”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00"/>
          </w:cols>
          <w:pgMar w:left="320" w:top="459" w:right="5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The following discussion of Cayman Islands, PRC and United States federal income tax consequences of an investment in the ADSs or ordinary shares is based upon laws and relevant interpretations thereof as of the date of this prospectus,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Conyers Dill &amp; Pearman, our Cayman Islands counsel. To the extent that the discussion relates to matters of PRC tax law, it represents the opinion of Fangda Partners, our PRC legal counsel.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after execution brought within the jurisdiction of, the Cayman Islands.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Cayman Islands is a party to a double tax treaty entered into with the United Kingdom in 2010 but otherwise is not party to any double tax treaties.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exchange control regulations or currency restrictions in the Cayman Islands.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Section 6 of the Tax Concessions Law (2020 Revision) of the Cayman Islands, we have obtained an undertaking from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Governor-in-Cabinet:</w:t>
      </w:r>
    </w:p>
    <w:p>
      <w:pPr>
        <w:spacing w:after="0" w:line="116" w:lineRule="exact"/>
        <w:rPr>
          <w:sz w:val="20"/>
          <w:szCs w:val="20"/>
          <w:color w:val="auto"/>
        </w:rPr>
      </w:pPr>
    </w:p>
    <w:p>
      <w:pPr>
        <w:ind w:left="660" w:right="40" w:hanging="544"/>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no law which is enacted in the Cayman Islands imposing any tax to be levied on profits or income or gains or appreciation shall apply to us or our operations; and</w:t>
      </w:r>
    </w:p>
    <w:p>
      <w:pPr>
        <w:spacing w:after="0" w:line="75" w:lineRule="exact"/>
        <w:rPr>
          <w:rFonts w:ascii="Arial" w:cs="Arial" w:eastAsia="Arial" w:hAnsi="Arial"/>
          <w:sz w:val="18"/>
          <w:szCs w:val="18"/>
          <w:color w:val="auto"/>
        </w:rPr>
      </w:pPr>
    </w:p>
    <w:p>
      <w:pPr>
        <w:ind w:left="660" w:hanging="544"/>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that the aforesaid tax or any tax in the nature of estate duty or inheritance tax shall not be payable on our shares, debentures or other obligations.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undertaking for us is for a period of twenty years from December 23,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Under the PRC EIT Law, which became effective on January 1, 2008 and was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6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40"/>
          </w:cols>
          <w:pgMar w:left="320" w:top="459" w:right="5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our Cayman Islands holding company would be subject to 25% enterprise income tax on its worldwide income. Further, a 10% withholding tax would be imposed on dividends we pay to our non-PRC enterprise shareholders (including the ADS holders). In addition, non-resident enterprise shareholders (including the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 See “Risk Factors—Risks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the opinion of Davis Polk &amp; Wardwell LLP, the following are material U.S. federal income tax consequences to the U.S. Holders described below of owning and disposing of the ADSs or ordinary shares, but this discussion does not purport to be a comprehensive description of all of the tax considerations that may be relevant to a particular person’s decision to acquire the ADSs or ordinary shares.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This discussion applies only to a U.S. Holder that acquires the ADSs in this offering and holds the ADSs or ordinary shares as capital assets for U.S. federal income tax purposes (generally, property held for investment). In addition, it does not describe all of the tax consequences that may be relevant in light of a U.S. Holder’s particular circumstances, including the alternative minimum tax, the Medicare contribution tax on net investment income and tax consequences applicable to U.S. Holders subject to special rules, such as:</w:t>
      </w:r>
    </w:p>
    <w:p>
      <w:pPr>
        <w:spacing w:after="0" w:line="92"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integrated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 and their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that own or are deemed to own ADSs or ordinary shares representing 10% or more of our voting power or value;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holding ADSs or ordinary shares in connection with a trade or business outside the United States.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ADSs or ordinary shares, the U.S. federal income tax treatment of a partner will generally depend on the status of the partner and the activities of the partnership. Partnerships owning ADSs or ordinary shares and their partners should consult their tax advisers as to their particular U.S. federal income tax consequences of owning and disposing of ADSs or ordinary shares.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herein, a “U.S. Holder” is a person that is for U.S. federal income tax purposes a beneficial owner of the ADSs or ordinary shares and:</w:t>
      </w:r>
    </w:p>
    <w:p>
      <w:pPr>
        <w:spacing w:after="0" w:line="154"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In general, a U.S. Holder that owns ADSs will be treated as the owner of the underlying ordinary shares represented by those ADSs for U.S. federal income tax purposes. Accordingly, no gain or loss will be recognized if a U.S. Holder exchanges ADSs for the underlying ordinary shares represented by those ADSs.</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discussion does not address the effects of any state, local or non-U.S. tax laws, or any U.S. federal taxes other than income taxes (such as U.S. federal or gift tax consequences). U.S. Holders should consult their tax advisers concerning the U.S. federal, state, local and non-U.S. tax consequences of owning and disposing of ADSs or ordinary shares in their particular circumstances.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Distributions</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Subject to the passive foreign investment company (“PFIC”) rules described below, distributions paid on the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on our ADSs to certain non-corporate U.S. Holders may be taxable at the reduced rates applicable to “qualified dividend income” if certain conditions are met, and provided that we are not a PFIC for the taxable year of distribution and were not a PFIC for the preceding taxable year. Non-corporate U.S. Holders should consult their tax advisers regarding the availability of the reduced tax rates on dividends in their particular circumstances.</w:t>
      </w:r>
    </w:p>
    <w:p>
      <w:pPr>
        <w:spacing w:after="0" w:line="16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Dividends will be included in a U.S. Holder’s income on the date of the U.S. Holder’s (in the case of ordinary shares) or the depositary’s (in the case of ADSs) actual or constructive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Dividends will be treated as foreign-source income, and generally will constitute passive income or in certain cases, general category income, for foreign tax credit purposes. As described in “—People’s Republic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China Taxation,” dividends paid by us may be subject to PRC withholding tax. For U.S. federal income tax purposes, the amount of the dividend income will include any amounts withheld in respect of PRC withholding tax. Subject to applicable limitations, which vary depending upon the U.S. Holder’s circumstances, PRC taxes withheld from dividend payments (at a rate not exceeding the applicable rate provided in the Treaty in the case of a U.S. Holder that is eligible for Treaty benefits) generally will be creditable against a U.S. Holder’s U.S. federal income tax liability. The rules governing foreign tax credits are complex and U.S. Holders should consult their tax advisers regarding the creditability of foreign taxes in their particular circumstances. In lieu of claiming a credit, a U.S. Holder may elect to deduct any such PRC taxes in computing its taxable income, subject to applicable limitations. An election to deduct foreign taxes instead of claiming foreign tax credits applies to all foreign taxes paid or accrued in the relevant taxable year.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 of ADSs or Ordinary Shares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Subject to the PFIC rules described below, a U.S. Holder will generally recognize capital gain or loss on a sale or other taxable disposition of ADSs or ordinary shares in an amount equal to the difference between the amount realized on the sale or disposition and the U.S. Holder’s tax basis in the ADSs or ordinary shares disposed of, in each case as determined in U.S. dollars. Such gain or loss will be long-term capital gain or loss if, at the time of the sale or disposition, the U.S. Holder has owned the ADSs or ordinary shares for more than one year. Long-term capital gains recognized by non-corporate U.S. Holders are subject to tax rates that are lower than those applicable to ordinary income. The deductibility of capital losses is subject to limitations.</w:t>
      </w:r>
    </w:p>
    <w:p>
      <w:pPr>
        <w:spacing w:after="0" w:line="19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described in “—People’s Republic of China Taxation,” gains on the sale of ADSs or ordinary shares may be subject to PRC taxes. A U.S. Holder is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income and therefore claim foreign tax credits in respect of PRC taxes on such gain. U.S. Holders should consult their tax advisers regarding their eligibility for the benefits of the Treaty and the creditability of any PRC tax on disposition gains in their particular circumstances.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rents, royalties and certain gains. Cash and cash-equivalents are passive assets for these purposes. Goodwill is generally characterized as an active asset to the extent it is associated with business activities that produce active income. However, in determining the annual PFIC status of a foreign corporation, the value of its goodwill is not taken into account if the company is a controlled foreign corporation for U.S. federal income tax purposes (a “CFC”) that is not publicly traded “for the taxable year.” A CFC is a foreign corporation more than 50% of the stock (by vote or value) of which is owned (directly, indirectly or constructively) by “United States shareholders.” We are not actually controlled by “United States shareholders” for purposes of the CFC rules. Therefore, we do not expect to be a CFC for the taxable year in which the offering occurs for purposes of the PFIC rules, provided that certain ownership attribution rules will not apply to treat us as constructively controlled by U.S. subsidiaries of Kingsoft Group (our controlling shareholder) for such purposes. Under recently proposed Treasury regulations (on which taxpayers can rely if they and their related persons apply them consistently to all foreign corporations), such ownership attribution rules would not apply for purposes of the PFIC rules, and we would not be treated as constructively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controlled by such U.S. subsidiaries for such purposes. The remainder of this discussion assumes that, pursuant to these proposed Treasury regulations, we will not be treated as a CFC by any U.S. Holder for purposes of the PFIC rules.</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Based on the current and expected composition of our income and assets and value of our assets, including goodwill, which is based, in part, on the expected price of the ADSs in this offering, we do not expect to be a PFIC for our current taxable year. However, our PFIC status for any taxable year is an annual determination that can be made only after the end of that taxable year and will depend on the composition of our income and assets and the value of our assets from time to time (which may be determined, in part, by reference to the market price of the ADSs, which could be volatile). Because we will hold a substantial amount of cash and cash-equivalents following this offering, our PFIC status for any taxable year may also depend on how, and how quickly, we use our liquid assets and cash. If our market capitalization declines significantly while we continue to hold a substantial amount of cash and cash-equivalents for any taxable year, we could be a PFIC for that year. Moreover, it is not entirely clear how the contractual arrangements between us and our VIEs will be treated for purposes of the PFIC rules, and we may be or become a PFIC if our VIEs are not treated as owned by us for these purposes. Furthermore, the application of the PFIC rules is subject to certain uncertainties such as the proper calculation of gross income for purposes of the PFIC rules. Accordingly, there can be no assurance that we will not be a PFIC for our current or any future taxable year.</w:t>
      </w:r>
    </w:p>
    <w:p>
      <w:pPr>
        <w:spacing w:after="0" w:line="16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we were a PFIC for any taxable year and any entity in which we own or are deemed to own equity interests (including our subsidiaries and VIEs) were also a PFIC (any such entity, a “Lower-tier PFIC”), a U.S. Holder would be deemed to own a proportionate amount (by value) of the shares of each such Lower-tier PFIC and would be subject to U.S. federal income tax according to the rules described in the next paragraph on (i) certain distributions by any Lower-tier PFIC and (ii) dispositions of shares of any Lower-tier PFIC, in each case, as if the U.S. Holder held such shares directly, even though the U.S. Holder did not receive any proceeds of those distributions or dispositions.</w:t>
      </w:r>
    </w:p>
    <w:p>
      <w:pPr>
        <w:spacing w:after="0" w:line="17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In general, if we were a PFIC for any taxable year during which a U.S. Holder held our ADSs or ordinary shares, gain recognized by such U.S. Holder on a sale or other disposition (including certain pledges) of its ADSs or ordinary shares would be allocated ratably over its holding period. The amounts allocated to the taxable year of the sale or disposition and to any taxable years before the first taxable year in which we became a PFIC would be taxed as ordinary income. The amounts allocated to each other taxable year would be subject to tax at the highest rate in effect for individuals or corporations, as applicable, for that taxable year, and an interest charge would be imposed on the resulting tax liability for each such year. Furthermore, to the extent that any distribution received by a U.S. Holder in any year on its ADSs or ordinary shares exceeds 125% of the average of the annual distributions on the ADSs or ordinary shares received during the preceding three taxable years or the U.S. Holder’s holding period, whichever is shorter, such distributions would be subject to taxation in the same manner. If we were a PFIC for any taxable year during which a U.S. Holder owned ADSs or ordinary shares, we would generally continue to be treated as a PFIC with respect to the U.S. Holder for all succeeding years during which the U.S. Holder owned the ADSs or ordinary shares, even if we ceased to meet the threshold requirements for PFIC status, unless we ceased to be a PFIC and the U.S. Holder made a timely “deemed sale” election with respect to the ADSs or ordinary shares, in which case such U.S. Holder would be deemed to have sold the ADSs or ordinary shares held at their fair market value, and any gain on the deemed sale would be taxed under the PFIC rules described above.</w:t>
      </w:r>
    </w:p>
    <w:p>
      <w:pPr>
        <w:spacing w:after="0" w:line="18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Alternatively, if we were a PFIC and if the ADSs were “regularly traded” on a “qualified exchange,” as defined in applicable Treasury Regulations, a U.S. Holder could make a mark-to-market election that would result in tax treatment different from the general tax treatment for PFICs described in the preceding paragraph. The ADSs will be treated as regularly traded for any calendar year in which more than a de minimis quantity of the ADSs are traded on a qualified exchange on at least 15 days during each calendar quarter. The Nasdaq, where the ADSs, but not the ordinary shares, are expected to be listed, is a qualified exchange for this purpose. If a U.S. Holder makes the mark-to-market election, the U.S. Holder generally will recognize as ordinary income 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excess of the fair market value of the ADSs at the end of each taxable year over the U.S. Holder’s adjusted tax basis in the ADSs and will recognize an ordinary loss in respect of any excess of the adjusted tax basis in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amounts of any income or loss recognized. Any gain recognized on the sale or other disposition of the ADSs in a year in which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“—Taxation of Distributions” above (but subject to the discussion in the immediately subsequent paragraph). U.S. Holders should consult their tax advisers regarding the availability and advisability of making a mark-to-market election in their particular circumstances. In particular, U.S. Holders should consider carefully the impact of a mark-to-market election with respect to their ADSs given that we may have Lower-tier PFICs for which a mark-to-market election will not be available.</w:t>
      </w:r>
    </w:p>
    <w:p>
      <w:pPr>
        <w:spacing w:after="0" w:line="16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we were a PFIC (or, with respect to a particular U.S. Holder, were treated as a PFIC) for any taxable year in which we paid a dividend or for the prior taxable year, the favorable tax rate described above under “—Taxation of Distributions” with respect to dividends paid to certain non-corporate U.S. Holders would not apply.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If we were a PFIC for any taxable year during which a U.S. Holders owned any ADSs or ordinary shares, the U.S. Holder would generally be required to file annual reports with the Internal Revenue Service. U.S. Holders should consult their tax advisers regarding the determination of whether we are a PFIC for any taxable year and the potential application of the PFIC rules to their ownership of ADSs or ordinary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Payments of dividends and proceeds from the sale or exchange of ADSs or ordinary shares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generally on Internal Revenue Service Form W-9. Backup holding is not an additional tax. The amount of any backup withholding from a payment to a U.S. Holder will generally be allowed as a credit against its U.S. federal income tax liability and may entitle the U.S. Holder to a refund, provided that the required information is timely furnished to the Internal Revenue Service.</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the ADSs or ordinary shares, or any non-U.S. accounts through which the ADSs or ordinary shares are held. U.S. Holders should consult their tax advisers regarding their reporting obligations with respect to our ADSs or ordinary shares.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9"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ADSs being offered. Subject to certain conditions, each underwriter has severally agreed to purchase the number of ADSs indicated in the table below. J.P. Morgan Securities LLC, UBS Securities LLC and Credit Suisse Securities (USA) LLC are the representatives of the underwriters.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340" w:type="dxa"/>
            <w:vAlign w:val="bottom"/>
            <w:gridSpan w:val="3"/>
          </w:tcPr>
          <w:p>
            <w:pPr>
              <w:ind w:left="2440"/>
              <w:spacing w:after="0"/>
              <w:rPr>
                <w:sz w:val="20"/>
                <w:szCs w:val="20"/>
                <w:color w:val="auto"/>
              </w:rPr>
            </w:pPr>
            <w:r>
              <w:rPr>
                <w:rFonts w:ascii="Arial" w:cs="Arial" w:eastAsia="Arial" w:hAnsi="Arial"/>
                <w:sz w:val="14"/>
                <w:szCs w:val="14"/>
                <w:b w:val="1"/>
                <w:bCs w:val="1"/>
                <w:color w:val="auto"/>
              </w:rPr>
              <w:t>Underwriters</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Number of ADSs</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840" w:type="dxa"/>
            <w:vAlign w:val="bottom"/>
            <w:tcBorders>
              <w:top w:val="single" w:sz="8" w:color="auto"/>
            </w:tcBorders>
            <w:shd w:val="clear" w:color="auto" w:fill="CCEEFF"/>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9"/>
        </w:trPr>
        <w:tc>
          <w:tcPr>
            <w:tcW w:w="6340" w:type="dxa"/>
            <w:vAlign w:val="bottom"/>
            <w:gridSpan w:val="3"/>
          </w:tcPr>
          <w:p>
            <w:pPr>
              <w:spacing w:after="0"/>
              <w:rPr>
                <w:sz w:val="20"/>
                <w:szCs w:val="20"/>
                <w:color w:val="auto"/>
              </w:rPr>
            </w:pPr>
            <w:r>
              <w:rPr>
                <w:rFonts w:ascii="Arial" w:cs="Arial" w:eastAsia="Arial" w:hAnsi="Arial"/>
                <w:sz w:val="18"/>
                <w:szCs w:val="18"/>
                <w:color w:val="auto"/>
              </w:rPr>
              <w:t>UBS Securities LLC</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25,000,000</w:t>
            </w:r>
          </w:p>
        </w:tc>
      </w:tr>
      <w:tr>
        <w:trPr>
          <w:trHeight w:val="20"/>
        </w:trPr>
        <w:tc>
          <w:tcPr>
            <w:tcW w:w="2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underwriters are committed, severally and not jointly, to taking and paying for all of the ADSs being offered, if any are taken, other than the ADSs covered by the option described below unless and until this option is exercised.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Certain of the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w:t>
      </w:r>
    </w:p>
    <w:p>
      <w:pPr>
        <w:spacing w:after="0" w:line="18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underwriters have an option to buy up to an additional 3,750,000 ADSs from the Company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Kingsoft Group and Xiaomi, our existing shareholders, have indicated interest in purchasing up to US$25 million and US$50 million, respectively, of the ADSs being offered in this offering at the initial public offering price and on the same terms as the other ADSs being offered. If Kingsoft Group or Xiaomi is allocated all or a portion of such ADSs and purchases any such ADSs, such purchase may reduce the available public float for the ADSs. As a result, any purchase of ADSs by Kingsoft Group and Xiaomi in this offering may reduce the liquidity of the ADSs relative to what it would have been had these ADSs been purchased by the public.</w:t>
      </w:r>
    </w:p>
    <w:p>
      <w:pPr>
        <w:spacing w:after="0" w:line="188"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Carmignac Gestion and its affiliates have indicated interest in purchasing, in aggregate, up to US$50 million of the ADSs being offered in this offering, subject to certain limitations, at the initial public offering price and on the same terms as the other ADSs being offered. Such indications of interest are not binding agreements or commitments to purchase, and we and the underwriters are currently under no obligations to sell any ADSs to such investors.</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tables show the per ADS and total underwriting discounts and commissions to be paid to the underwriters by us. Such amounts are shown assuming both no exercise and full exercise of the underwriters’ option to purchase 3,750,000 additional ADSs.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9"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Paid by Us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7"/>
              </w:rPr>
              <w:t>Full Exercise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334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ADSs sold by the underwriters to the public will initially be offered at the initial public offering price set forth on the cover of this prospectus.</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Any ADSs sold by the underwriters to securities dealers may be sold at a discount of up to $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 The underwriting agreement provides that the obligations of the several underwriters to pay for and accept delivery of the ADSs offered by this prospectus are subject to the approval of certain legal matters by their counsel and to certain other conditions.</w:t>
      </w:r>
    </w:p>
    <w:p>
      <w:pPr>
        <w:spacing w:after="0" w:line="19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our directors, executive officers, existing shareholders and holders of share-based awards have agreed with the underwriters, subject to certain exceptions, not to dispose of or hedge any of their ordinary shares or ADSs or any securities convertible into or exchangeable for our ordinary shares or ADSs during the period from the date of this prospectus continuing through the date 180 days after the date of this prospectus, except with the prior written consent of the representatives. See “Shares Eligible for Future Sale” for a discussion of certain transfer restrictions.</w:t>
      </w:r>
    </w:p>
    <w:p>
      <w:pPr>
        <w:spacing w:after="0" w:line="17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Prior to the offering, there has been no public market for the ADSs. The initial public offering price has been negotiated among the representatives and us. Among the factors to be considered in determining the initial public offering price of the ADSs, in addition to prevailing market conditions, will be our historical performance, estimates of the business potential and earnings prospects, an assessment of our management and the consideration of the above factors in relation to market valuation of companies in related businesses.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application has been made to list the ADSs on the Nasdaq under the symbol “KC”.</w:t>
      </w:r>
    </w:p>
    <w:p>
      <w:pPr>
        <w:spacing w:after="0" w:line="225"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the ADSs in the open market. These transactions may include short sales, stabilizing transactions and purchases to cover positions created by short sales in accordance with Regulation M under the Exchange Act.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the ADSs made by the underwriters in the open market prior to the completion of the offering.</w:t>
      </w:r>
    </w:p>
    <w:p>
      <w:pPr>
        <w:spacing w:after="0" w:line="18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w:t>
      </w:r>
    </w:p>
    <w:p>
      <w:pPr>
        <w:spacing w:after="0" w:line="23" w:lineRule="exact"/>
        <w:rPr>
          <w:sz w:val="20"/>
          <w:szCs w:val="20"/>
          <w:color w:val="auto"/>
        </w:rPr>
      </w:pPr>
    </w:p>
    <w:p>
      <w:pPr>
        <w:ind w:left="740" w:hanging="624"/>
        <w:spacing w:after="0"/>
        <w:tabs>
          <w:tab w:leader="none" w:pos="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financing, brokerage and other financial and non-financial activities and services. Certain of the underwriters and their respective affiliates may have, from time to time, provided, and may in the future provide, a variety of these services to the issuer and to persons and entities with relationships with the issuer, for which they received or will receive customary fees, commissions and expenses.</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at any time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prospectus in electronic format will be made available on the websites maintained by one or more of the underwriters or one or more securities dealers. One or more of the underwriters may distribute prospectuses electronically. The underwriters may agree to allocate a number of ADSs for sale to their online brokerage account holders. ADSs to be sold pursuant to an Internet distribution will be allocated on the same basis as other allocations. In addition, ADSs may be sold by the underwriters to securities dealers who resell ADSs to online brokerage account holders.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6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address of J.P. Morgan Securities LLC is 383 Madison Avenue, New York, NY 10179, United States. The address of UBS Securities LLC is 1285 Avenue of The Americas, New York, NY 10019, United States. The address of Credit Suisse Securities (USA) LLC is Eleven Madison Avenue, New York, NY 10010, United States. The address of China International Capital Corporation Hong Kong Securities Limited is 29th Floor, One International Finance Centre, 1 Harbour View Street, Central, Hong Kong.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This document has not been lodged with the Australian Securities &amp; Investments Commission and is only directed to certain categories of exempt persons. Accordingly, if you receive this document in Australia:</w:t>
      </w:r>
    </w:p>
    <w:p>
      <w:pPr>
        <w:spacing w:after="0" w:line="76"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“sophisticated investor” under section 708(8)(a) or (b) of the Corporations Act 2001 (Cth) of Australia, or the Corporations Act;</w:t>
      </w:r>
    </w:p>
    <w:p>
      <w:pPr>
        <w:spacing w:after="0" w:line="142" w:lineRule="exact"/>
        <w:rPr>
          <w:rFonts w:ascii="Arial" w:cs="Arial" w:eastAsia="Arial" w:hAnsi="Arial"/>
          <w:sz w:val="17"/>
          <w:szCs w:val="17"/>
          <w:color w:val="auto"/>
        </w:rPr>
      </w:pPr>
    </w:p>
    <w:p>
      <w:pPr>
        <w:ind w:left="1540" w:hanging="439"/>
        <w:spacing w:after="0" w:line="263" w:lineRule="auto"/>
        <w:tabs>
          <w:tab w:leader="none" w:pos="1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person associated with the company under section 708(12) of the Corporations Act;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“professional investor” within the meaning of section 708(11)(a) or (b) of the Corporations Act;</w:t>
      </w:r>
    </w:p>
    <w:p>
      <w:pPr>
        <w:spacing w:after="0" w:line="225"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146" w:lineRule="exact"/>
        <w:rPr>
          <w:sz w:val="20"/>
          <w:szCs w:val="20"/>
          <w:color w:val="auto"/>
        </w:rPr>
      </w:pPr>
    </w:p>
    <w:p>
      <w:pPr>
        <w:ind w:left="120" w:right="20" w:firstLine="436"/>
        <w:spacing w:after="0" w:line="263" w:lineRule="auto"/>
        <w:tabs>
          <w:tab w:leader="none" w:pos="8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ADSs are not being, and may not be offered to the public or to any person in the British Virgin Islands for purchase or subscription by or on behalf of the Company. The ADSs may be offered to companies incorporated under the British Virgin Islands Business Companies Act, 2004, or 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The ADSs may be sold in Canada only to purchasers resident or located in the Provinces of Ontario, Quebec, Alberta and British Columbia,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ADSs, whether by way of sale or subscription.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ADSs in the Cayman Islands.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Finance Center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relation to the EU Prospectus Regulation (EU) 2017/1129 repealing Directive (2003/71/EC), as implemented by the member states of the European Economic Area and the United Kingdom (each, a “Relevant State”) as well as any equivalent or similar law, rule or regulation or guidance implemented in the United Kingdom as a result of it ceasing to be part of the European Economic Area (“Prospectus Regulation”), an offer to the public of any shares which are the subject of the offering contemplated by this prospectus may not be made in that Relevant State unless the prospectus has been approved by the competent authority in such Relevant State or, where appropriate, approved in another Relevant State and notified to the competent authority in that Relevant State, all in accordance with the Prospectus Regulation, except that an offer to the public in that Relevant State of any shares may be made at any time under the following exemptions under the Prospectus Regulation, as implemented in that Relevant State:</w:t>
      </w:r>
    </w:p>
    <w:p>
      <w:pPr>
        <w:spacing w:after="0" w:line="72"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“qualified investors” within the meaning of Article 2(e) of the Prospectus Regulation;</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the underwriters to fewer than 150 natural or legal persons (other than “qualified investors” as defined in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result in a requirement for the publication by us or any representative of a prospectus pursuant to Article 3 of the Prospectus Regulation or supplement a prospectus pursuant to Article 23 of the Prospectus Regulation.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person making or intending to make any offer of shares within the EEA should only do so in circumstances in which no obligation arises for us or any of the underwriters to produce a prospectus for such offer. Neither we nor the underwriters have authorized, nor do they authorize, the making of any offer of shares through any financial intermediary, other than offers made by the underwriters which constitute the final offering of shares contemplated in this prospectus.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For the purposes of this provision, and your representation below, the expression an “offer of shares to the public” in relation to any shares in any Relevant State means a communication to persons in any form and by any means, presenting sufficient information on the terms of the offer and any shares to be offered, so as to enable an investor to decide to purchase any shares, as the same may be varied in that Relevant State by any measure implementing the Prospectus Regulation in that Relevant State.</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Each person in a Relevant State who receives any communication in respect of, or who acquires any shares under, the offer of shares contemplated by this prospectus will be deemed to have represented, warranted and agreed to and with us and each underwriter that:</w:t>
      </w:r>
    </w:p>
    <w:p>
      <w:pPr>
        <w:spacing w:after="0" w:line="52" w:lineRule="exact"/>
        <w:rPr>
          <w:sz w:val="20"/>
          <w:szCs w:val="20"/>
          <w:color w:val="auto"/>
        </w:rPr>
      </w:pPr>
    </w:p>
    <w:p>
      <w:pPr>
        <w:ind w:left="1080" w:right="36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law in that Relevant State implementing Article 2(e) of the Prospectus Regulation (unless otherwise expressly disclosed to us and/or the relevant underwriter in writing); and</w:t>
      </w:r>
    </w:p>
    <w:p>
      <w:pPr>
        <w:spacing w:after="0" w:line="75"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5(1) of the Prospectus Regulation, (i) the shares acquired by it in the offering have not been acquired on behalf of, nor have they been acquired with a view to their offer or resale to, persons in any Relevant State other than “qualified investors” (as defined in the Prospectus Regulation), or in circumstances in which the prior consent of the representatives has been given to the offer or resale; or (ii) where shares have been acquired by it on behalf of persons in any Relevant State other than qualified investors, the offer of those shares to it is not treated under the Prospectus Regulation as having been made to such persons.</w:t>
      </w:r>
    </w:p>
    <w:p>
      <w:pPr>
        <w:spacing w:after="0" w:line="192"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w:t>
      </w:r>
    </w:p>
    <w:p>
      <w:pPr>
        <w:spacing w:after="0" w:line="2" w:lineRule="exact"/>
        <w:rPr>
          <w:sz w:val="20"/>
          <w:szCs w:val="20"/>
          <w:color w:val="auto"/>
        </w:rPr>
      </w:pPr>
    </w:p>
    <w:p>
      <w:pPr>
        <w:ind w:left="120" w:right="20" w:hanging="4"/>
        <w:spacing w:after="0" w:line="253" w:lineRule="auto"/>
        <w:tabs>
          <w:tab w:leader="none" w:pos="3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who are high-net-worth entities falling within Article 49(2) of the Order, and (iii) any other persons to whom it may otherwise lawfully be communicated pursuant to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or</w:t>
      </w:r>
    </w:p>
    <w:p>
      <w:pPr>
        <w:spacing w:after="0" w:line="2" w:lineRule="exact"/>
        <w:rPr>
          <w:sz w:val="20"/>
          <w:szCs w:val="20"/>
          <w:color w:val="auto"/>
        </w:rPr>
      </w:pPr>
    </w:p>
    <w:p>
      <w:pPr>
        <w:ind w:left="120" w:right="120" w:hanging="4"/>
        <w:spacing w:after="0" w:line="270" w:lineRule="auto"/>
        <w:tabs>
          <w:tab w:leader="none" w:pos="43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and ADSs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prospectus has not been and will not be circulated or distributed in the PRC, and ADSs may not be offered or sold, and will not be offered or sold to any person for re-offering or resale, directly or indirectly, to any resident of the PRC or for the benefit of, legal or natural persons of the PRC except pursuant to applicable laws and regulations of the PRC. Further, no legal or natural persons of the PRC may directly or indirectly purchase any of the ADSs or any beneficial interest therein without obtaining all prior PRC’s governmental approvals that are required, whether statutorily or otherwise. Persons who come into possession of this prospectus are required by the issuer and its representatives to observe these restrictions. For the purpose of this paragraph, PRC does not include Taiwan and the special administrative regions of Hong Kong and Macau.</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80" w:firstLine="440"/>
        <w:spacing w:after="0" w:line="272" w:lineRule="auto"/>
        <w:rPr>
          <w:sz w:val="20"/>
          <w:szCs w:val="20"/>
          <w:color w:val="auto"/>
        </w:rPr>
      </w:pPr>
      <w:r>
        <w:rPr>
          <w:rFonts w:ascii="Arial" w:cs="Arial" w:eastAsia="Arial" w:hAnsi="Arial"/>
          <w:sz w:val="17"/>
          <w:szCs w:val="17"/>
          <w:color w:val="auto"/>
        </w:rPr>
        <w:t>This prospectus or any other offering material relating to our ADSs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ADSs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sell, give advice regarding or otherwise intermediate the offering and sale of the ADSs in Taiwan.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not intended to constitute an offer, sale or delivery of shares or other securities under the laws of the United Arab Emirates, or the UAE. The ADSs and the underlying shares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offering, the ADSs, the underlying shares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and the underlying shares may not be offered or sold directly or indirectly to the public in the UAE.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120" w:right="60" w:firstLine="436"/>
        <w:spacing w:after="0" w:line="286" w:lineRule="auto"/>
        <w:tabs>
          <w:tab w:leader="none" w:pos="80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21(1) of the FSMA is not breached by us; and</w:t>
      </w:r>
    </w:p>
    <w:p>
      <w:pPr>
        <w:spacing w:after="0" w:line="165" w:lineRule="exact"/>
        <w:rPr>
          <w:rFonts w:ascii="Arial" w:cs="Arial" w:eastAsia="Arial" w:hAnsi="Arial"/>
          <w:sz w:val="17"/>
          <w:szCs w:val="17"/>
          <w:color w:val="auto"/>
        </w:rPr>
      </w:pPr>
    </w:p>
    <w:p>
      <w:pPr>
        <w:ind w:left="120" w:right="360" w:firstLine="436"/>
        <w:spacing w:after="0" w:line="277" w:lineRule="auto"/>
        <w:tabs>
          <w:tab w:leader="none" w:pos="8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listing fee, all amounts are estimates. We will pay all of the expenses of this offering.</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Expenses</w:t>
            </w:r>
          </w:p>
        </w:tc>
        <w:tc>
          <w:tcPr>
            <w:tcW w:w="4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 Securities and Exchange Commission registration fee</w:t>
            </w:r>
          </w:p>
        </w:tc>
        <w:tc>
          <w:tcPr>
            <w:tcW w:w="10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5"/>
              </w:rPr>
              <w:t>US$</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67,172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78,125</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2,775,000</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1,300,000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842,000</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5"/>
              </w:rPr>
              <w:t>US$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5,412,297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3620"/>
              <w:spacing w:after="0"/>
              <w:rPr>
                <w:sz w:val="20"/>
                <w:szCs w:val="20"/>
                <w:color w:val="auto"/>
              </w:rPr>
            </w:pPr>
            <w:r>
              <w:rPr>
                <w:rFonts w:ascii="Arial" w:cs="Arial" w:eastAsia="Arial" w:hAnsi="Arial"/>
                <w:sz w:val="18"/>
                <w:szCs w:val="18"/>
                <w:color w:val="auto"/>
              </w:rPr>
              <w:t>211</w:t>
            </w: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for the underwriters by Kirkland &amp; Ellis International LLP. The validity of the ordinary shares represented by the ADSs offered in this offering and other certain legal matters as to Cayman Islands law will be passed upon for us by Conyers Dill &amp; Pearman. Legal matters as to PRC law will be passed upon for us by Fangda Partners and for the underwriters by Han Kun Law Offices. Davis Polk &amp; Wardwell LLP may rely upon Conyers Dill &amp; Pearman with respect to matters governed by Cayman Islands law and Fangda Partners with respect to matters governed by PRC law. Kirkland &amp; Ellis International LLP may rely upon Han Kun Law Offices with respect to matters governed by PRC law.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consolidated financial statements of Kingsoft Cloud Holdings Limited as of December 31, 2018 and 2019 and for each of the three years in the period ended December 31, 2019,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offices of Ernst &amp; Young Hua Ming LLP are located at Oriental Plaza, No. 1 East Chang An Avenue, Dong Cheng District, Beijing 100738, the People’s Republic of China.</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0960"/>
          </w:cols>
          <w:pgMar w:left="320" w:top="459" w:right="6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2"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14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20"/>
          </w:cols>
          <w:pgMar w:left="320" w:top="459" w:right="5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Report of Independent Registered Public Accounting Firm</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Consolidated Balance Sheets as of December 31, 2018 and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Consolidated Statements of Comprehensive Loss for the Years Ended December 31, 2017, 2018 and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Consolidated Statements of Changes in Shareholders’ Deficit for the Years Ended December 31, 2017, 2018 and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Consolidated Statements of Cash Flows for the Years Ended December 31, 2017, 2018 and 2019</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105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Notes to the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0"/>
        </w:trPr>
        <w:tc>
          <w:tcPr>
            <w:tcW w:w="105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4"/>
        </w:trPr>
        <w:tc>
          <w:tcPr>
            <w:tcW w:w="10560" w:type="dxa"/>
            <w:vAlign w:val="bottom"/>
          </w:tcPr>
          <w:p>
            <w:pPr>
              <w:ind w:left="5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Kingsoft Cloud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audited the accompanying consolidated balance sheets of Kingsoft Cloud Holdings Limited (the “Company”) as of December 31, 2018 and 2019, the related consolidated statements of comprehensive loss, changes in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each of the three years in the period ended December 31, 2019,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Hua Ming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10, 2020, except for Note 21, as to which the date is April 17,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As at December 31</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Notes</w:t>
            </w:r>
          </w:p>
        </w:tc>
        <w:tc>
          <w:tcPr>
            <w:tcW w:w="8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33"/>
        </w:trPr>
        <w:tc>
          <w:tcPr>
            <w:tcW w:w="59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1"/>
                <w:szCs w:val="11"/>
                <w:color w:val="auto"/>
              </w:rPr>
            </w:pPr>
          </w:p>
        </w:tc>
        <w:tc>
          <w:tcPr>
            <w:tcW w:w="860" w:type="dxa"/>
            <w:vAlign w:val="bottom"/>
            <w:tcBorders>
              <w:top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74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c>
          <w:tcPr>
            <w:tcW w:w="6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6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1"/>
                <w:szCs w:val="11"/>
                <w:color w:val="auto"/>
              </w:rPr>
            </w:pPr>
          </w:p>
        </w:tc>
      </w:tr>
      <w:tr>
        <w:trPr>
          <w:trHeight w:val="148"/>
        </w:trPr>
        <w:tc>
          <w:tcPr>
            <w:tcW w:w="5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Pro forma</w:t>
            </w:r>
          </w:p>
        </w:tc>
      </w:tr>
      <w:tr>
        <w:trPr>
          <w:trHeight w:val="149"/>
        </w:trPr>
        <w:tc>
          <w:tcPr>
            <w:tcW w:w="5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shareholders’ equity</w:t>
            </w:r>
          </w:p>
        </w:tc>
      </w:tr>
      <w:tr>
        <w:trPr>
          <w:trHeight w:val="171"/>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1,507,071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2,023,263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290,624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940" w:type="dxa"/>
            <w:vAlign w:val="bottom"/>
          </w:tcPr>
          <w:p>
            <w:pPr>
              <w:spacing w:after="0" w:line="201" w:lineRule="exact"/>
              <w:rPr>
                <w:sz w:val="20"/>
                <w:szCs w:val="20"/>
                <w:color w:val="auto"/>
              </w:rPr>
            </w:pPr>
            <w:r>
              <w:rPr>
                <w:rFonts w:ascii="Arial" w:cs="Arial" w:eastAsia="Arial" w:hAnsi="Arial"/>
                <w:sz w:val="18"/>
                <w:szCs w:val="18"/>
                <w:color w:val="auto"/>
              </w:rPr>
              <w:t>Accounts receivable, net of allowance of RMB2,249 and RMB22,894</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(US$3,289) as of December 31, 2018 and 2019, respectively</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541,584</w:t>
            </w: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1,347,481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193,554</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2,208,105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225,425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32,380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281,090</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421,938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60,608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131,632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18,908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4,734,409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4,149,739</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596,074</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1,043,155</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1,720,974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247,202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10,147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64,152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36,468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5,238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114,876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16,501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60" w:type="dxa"/>
            <w:vAlign w:val="bottom"/>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2,336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5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1,124,790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1,882,082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270,344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5,859,199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6,031,821</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866,418</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59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MEZZANINE EQUITY AND SHAREHOLDERS’</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594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Current liabilities </w:t>
            </w:r>
            <w:r>
              <w:rPr>
                <w:rFonts w:ascii="Arial" w:cs="Arial" w:eastAsia="Arial" w:hAnsi="Arial"/>
                <w:sz w:val="18"/>
                <w:szCs w:val="18"/>
                <w:color w:val="auto"/>
              </w:rPr>
              <w:t>(including current liabilities of the consolidated VIEs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without recourse to the primary beneficiary of RMB1,231,051 and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RMB2,168,169 (US$311,438) as of December 31, 2018 and 2019,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720,805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1,254,589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180,210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423,634</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949,213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136,346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 current portion</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80,786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Income tax payable</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7,028</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11,930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1,714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204,634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104,259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1,436,887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2,419,991</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347,610</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As at December 31</w:t>
            </w: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6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2"/>
              </w:rPr>
              <w:t>Notes</w:t>
            </w:r>
          </w:p>
        </w:tc>
        <w:tc>
          <w:tcPr>
            <w:tcW w:w="9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9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80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33"/>
        </w:trPr>
        <w:tc>
          <w:tcPr>
            <w:tcW w:w="49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Borders>
              <w:top w:val="single" w:sz="8" w:color="auto"/>
            </w:tcBorders>
          </w:tcPr>
          <w:p>
            <w:pPr>
              <w:jc w:val="right"/>
              <w:ind w:right="233"/>
              <w:spacing w:after="0" w:line="133"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1000" w:type="dxa"/>
            <w:vAlign w:val="bottom"/>
            <w:tcBorders>
              <w:top w:val="single" w:sz="8" w:color="auto"/>
            </w:tcBorders>
          </w:tcPr>
          <w:p>
            <w:pPr>
              <w:jc w:val="right"/>
              <w:ind w:right="254"/>
              <w:spacing w:after="0" w:line="133"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1"/>
                <w:szCs w:val="11"/>
                <w:color w:val="auto"/>
              </w:rPr>
            </w:pPr>
          </w:p>
        </w:tc>
        <w:tc>
          <w:tcPr>
            <w:tcW w:w="960" w:type="dxa"/>
            <w:vAlign w:val="bottom"/>
            <w:tcBorders>
              <w:top w:val="single" w:sz="8" w:color="auto"/>
            </w:tcBorders>
          </w:tcPr>
          <w:p>
            <w:pPr>
              <w:jc w:val="right"/>
              <w:ind w:right="273"/>
              <w:spacing w:after="0" w:line="133"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1"/>
                <w:szCs w:val="11"/>
                <w:color w:val="auto"/>
              </w:rPr>
            </w:pPr>
          </w:p>
        </w:tc>
        <w:tc>
          <w:tcPr>
            <w:tcW w:w="80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1"/>
                <w:szCs w:val="11"/>
                <w:color w:val="auto"/>
              </w:rPr>
            </w:pPr>
          </w:p>
        </w:tc>
      </w:tr>
      <w:tr>
        <w:trPr>
          <w:trHeight w:val="149"/>
        </w:trPr>
        <w:tc>
          <w:tcPr>
            <w:tcW w:w="4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Pro forma shareholders’</w:t>
            </w:r>
          </w:p>
        </w:tc>
      </w:tr>
      <w:tr>
        <w:trPr>
          <w:trHeight w:val="148"/>
        </w:trPr>
        <w:tc>
          <w:tcPr>
            <w:tcW w:w="4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left="499"/>
              <w:spacing w:after="0" w:line="149" w:lineRule="exact"/>
              <w:rPr>
                <w:sz w:val="20"/>
                <w:szCs w:val="20"/>
                <w:color w:val="auto"/>
              </w:rPr>
            </w:pPr>
            <w:r>
              <w:rPr>
                <w:rFonts w:ascii="Arial" w:cs="Arial" w:eastAsia="Arial" w:hAnsi="Arial"/>
                <w:sz w:val="14"/>
                <w:szCs w:val="14"/>
                <w:b w:val="1"/>
                <w:bCs w:val="1"/>
                <w:color w:val="auto"/>
                <w:w w:val="92"/>
              </w:rPr>
              <w:t>equity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5"/>
        </w:trPr>
        <w:tc>
          <w:tcPr>
            <w:tcW w:w="4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Non-current liabilities </w:t>
            </w:r>
            <w:r>
              <w:rPr>
                <w:rFonts w:ascii="Arial" w:cs="Arial" w:eastAsia="Arial" w:hAnsi="Arial"/>
                <w:sz w:val="18"/>
                <w:szCs w:val="18"/>
                <w:color w:val="auto"/>
              </w:rPr>
              <w:t>(including non-current liabilities of the</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consolidated VIEs without recourse to the primary beneficiary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RMB319,735 and RMB74,557 (US$10,710) as of</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 and 2019, respectively):</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Long-term bank loan</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174,352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74,351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10,680</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145,000</w:t>
            </w: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4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319,735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74,557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10,710</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1,756,622</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2,494,548</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358,320</w:t>
            </w: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B convertible preferred shares (par value of US$0.001 per</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share; 153,603,600 shares authorized, issued and outstanding as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December 31, 2018 and 2019)</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337,268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337,268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48,446</w:t>
            </w: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w w:val="98"/>
              </w:rPr>
              <w:t>Series C redeemable convertible preferred shares (par value of</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w w:val="92"/>
              </w:rPr>
              <w:t>US$0.001 per share; 185,665,192 shares authorized, issued and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outstanding as of December 31, 2018 and 2019)</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1,043,147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1,043,147</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149,839</w:t>
            </w:r>
          </w:p>
        </w:tc>
        <w:tc>
          <w:tcPr>
            <w:tcW w:w="13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D redeemable convertible preferred shares (par value of</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US$0.001 per share; 842,738,782 shares authorized, issued and</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2018 and 2019)</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5,965,273</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5,965,273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856,858</w:t>
            </w: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w w:val="96"/>
              </w:rPr>
              <w:t>Series D+ redeemable convertible preferred shares (par value of</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w w:val="96"/>
              </w:rPr>
              <w:t>US$0.001 per share; nil and 77,125,997 shares authorized, nil</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and 55,089,998 shares issued and outstanding as of</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December 31, 2018 and 2019, respectively)</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388,844</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55,854</w:t>
            </w:r>
          </w:p>
        </w:tc>
        <w:tc>
          <w:tcPr>
            <w:tcW w:w="13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7,345,688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7,734,532</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1,110,997</w:t>
            </w:r>
          </w:p>
        </w:tc>
        <w:tc>
          <w:tcPr>
            <w:tcW w:w="1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except for number of shares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As at December 31</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5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7"/>
              </w:rPr>
              <w:t>Notes</w:t>
            </w: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7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94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33"/>
        </w:trPr>
        <w:tc>
          <w:tcPr>
            <w:tcW w:w="49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tcPr>
          <w:p>
            <w:pPr>
              <w:jc w:val="right"/>
              <w:ind w:right="214"/>
              <w:spacing w:after="0" w:line="133" w:lineRule="exact"/>
              <w:rPr>
                <w:sz w:val="20"/>
                <w:szCs w:val="20"/>
                <w:color w:val="auto"/>
              </w:rPr>
            </w:pPr>
            <w:r>
              <w:rPr>
                <w:rFonts w:ascii="Arial" w:cs="Arial" w:eastAsia="Arial" w:hAnsi="Arial"/>
                <w:sz w:val="14"/>
                <w:szCs w:val="14"/>
                <w:b w:val="1"/>
                <w:bCs w:val="1"/>
                <w:color w:val="auto"/>
              </w:rPr>
              <w:t>RMB</w:t>
            </w:r>
          </w:p>
        </w:tc>
        <w:tc>
          <w:tcPr>
            <w:tcW w:w="220" w:type="dxa"/>
            <w:vAlign w:val="bottom"/>
            <w:gridSpan w:val="2"/>
          </w:tcPr>
          <w:p>
            <w:pPr>
              <w:spacing w:after="0"/>
              <w:rPr>
                <w:sz w:val="11"/>
                <w:szCs w:val="11"/>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ind w:right="174"/>
              <w:spacing w:after="0" w:line="133"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1"/>
                <w:szCs w:val="11"/>
                <w:color w:val="auto"/>
              </w:rPr>
            </w:pPr>
          </w:p>
        </w:tc>
        <w:tc>
          <w:tcPr>
            <w:tcW w:w="940" w:type="dxa"/>
            <w:vAlign w:val="bottom"/>
            <w:tcBorders>
              <w:top w:val="single" w:sz="8" w:color="auto"/>
            </w:tcBorders>
          </w:tcPr>
          <w:p>
            <w:pPr>
              <w:jc w:val="right"/>
              <w:ind w:right="218"/>
              <w:spacing w:after="0" w:line="133"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5"/>
              <w:spacing w:after="0" w:line="133"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1"/>
                <w:szCs w:val="11"/>
                <w:color w:val="auto"/>
              </w:rPr>
            </w:pPr>
          </w:p>
        </w:tc>
      </w:tr>
      <w:tr>
        <w:trPr>
          <w:trHeight w:val="148"/>
        </w:trPr>
        <w:tc>
          <w:tcPr>
            <w:tcW w:w="4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Pro forma shareholders’</w:t>
            </w:r>
          </w:p>
        </w:tc>
      </w:tr>
      <w:tr>
        <w:trPr>
          <w:trHeight w:val="148"/>
        </w:trPr>
        <w:tc>
          <w:tcPr>
            <w:tcW w:w="4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left="698"/>
              <w:spacing w:after="0" w:line="149" w:lineRule="exact"/>
              <w:rPr>
                <w:sz w:val="20"/>
                <w:szCs w:val="20"/>
                <w:color w:val="auto"/>
              </w:rPr>
            </w:pPr>
            <w:r>
              <w:rPr>
                <w:rFonts w:ascii="Arial" w:cs="Arial" w:eastAsia="Arial" w:hAnsi="Arial"/>
                <w:sz w:val="14"/>
                <w:szCs w:val="14"/>
                <w:b w:val="1"/>
                <w:bCs w:val="1"/>
                <w:color w:val="auto"/>
                <w:w w:val="92"/>
              </w:rPr>
              <w:t>equity</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w w:val="95"/>
              </w:rPr>
              <w:t>Series A convertible preferred shares (par value of US$0.001 per</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w w:val="91"/>
              </w:rPr>
              <w:t>share; 458,116,000 shares authorized, issued and outstanding as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of December 31, 2018 and 2019)</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123,186</w:t>
            </w:r>
          </w:p>
        </w:tc>
        <w:tc>
          <w:tcPr>
            <w:tcW w:w="2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123,186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17,695</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Ordinary shares (par value of US$0.001 per share; 1,359,876,426</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1,282,750,429 shares authorized, 935,235,476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1,077,086,304 shares issued, 793,430,000 and 894,711,200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as of December 31, 2018 and 2019,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4,851</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17,561</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91,746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13,178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8,155,078</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1,171,405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(3,790,898)</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(4,902,097)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(704,142)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(4,990,701)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(716,869)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920" w:type="dxa"/>
            <w:vAlign w:val="bottom"/>
          </w:tcPr>
          <w:p>
            <w:pPr>
              <w:jc w:val="right"/>
              <w:spacing w:after="0"/>
              <w:rPr>
                <w:sz w:val="20"/>
                <w:szCs w:val="20"/>
                <w:color w:val="auto"/>
              </w:rPr>
            </w:pPr>
            <w:r>
              <w:rPr>
                <w:rFonts w:ascii="Arial" w:cs="Arial" w:eastAsia="Arial" w:hAnsi="Arial"/>
                <w:sz w:val="18"/>
                <w:szCs w:val="18"/>
                <w:color w:val="auto"/>
              </w:rPr>
              <w:t>419,750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484,348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69,572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484,348</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69,572</w:t>
            </w: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(3,243,111)</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(4,197,259)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(602,899)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3,666,286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526,630</w:t>
            </w: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w w:val="98"/>
              </w:rPr>
              <w:t>Total liabilities, mezzanine equity and shareholders’ deficit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5,859,199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6,031,821</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866,418</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Notes</w:t>
            </w:r>
          </w:p>
        </w:tc>
        <w:tc>
          <w:tcPr>
            <w:tcW w:w="9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9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96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8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9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82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5940" w:type="dxa"/>
            <w:vAlign w:val="bottom"/>
          </w:tcPr>
          <w:p>
            <w:pPr>
              <w:spacing w:after="0" w:line="201" w:lineRule="exact"/>
              <w:rPr>
                <w:sz w:val="20"/>
                <w:szCs w:val="20"/>
                <w:color w:val="auto"/>
              </w:rPr>
            </w:pPr>
            <w:r>
              <w:rPr>
                <w:rFonts w:ascii="Arial" w:cs="Arial" w:eastAsia="Arial" w:hAnsi="Arial"/>
                <w:sz w:val="18"/>
                <w:szCs w:val="18"/>
                <w:color w:val="auto"/>
              </w:rPr>
              <w:t>Public cloud services (including related party amounts of RMB396,453,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RMB630,511 and RMB688,187 (US$98,852) for the years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December 31, 2017, 2018 and 2019, respectively)</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1,202,485</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2,110,513</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3,458,843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496,832</w:t>
            </w:r>
          </w:p>
        </w:tc>
      </w:tr>
      <w:tr>
        <w:trPr>
          <w:trHeight w:val="202"/>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Enterprise cloud services (including related party amounts of RMB11,321, RMB</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nil and RMB nil (US$ nil) for the years ended December 31, 2017, 2018 and</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15,271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94,369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486,308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69,854</w:t>
            </w:r>
          </w:p>
        </w:tc>
      </w:tr>
      <w:tr>
        <w:trPr>
          <w:trHeight w:val="202"/>
        </w:trPr>
        <w:tc>
          <w:tcPr>
            <w:tcW w:w="5940" w:type="dxa"/>
            <w:vAlign w:val="bottom"/>
          </w:tcPr>
          <w:p>
            <w:pPr>
              <w:spacing w:after="0" w:line="201" w:lineRule="exact"/>
              <w:rPr>
                <w:sz w:val="20"/>
                <w:szCs w:val="20"/>
                <w:color w:val="auto"/>
              </w:rPr>
            </w:pPr>
            <w:r>
              <w:rPr>
                <w:rFonts w:ascii="Arial" w:cs="Arial" w:eastAsia="Arial" w:hAnsi="Arial"/>
                <w:sz w:val="18"/>
                <w:szCs w:val="18"/>
                <w:color w:val="auto"/>
              </w:rPr>
              <w:t>Others (including related party amounts of RMB nil, RMB nil and RMB120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(US$17) for the years ended December 31, 2017, 2018 and 2019,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59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18,211</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13,290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11,202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1,609</w:t>
            </w:r>
          </w:p>
        </w:tc>
      </w:tr>
      <w:tr>
        <w:trPr>
          <w:trHeight w:val="27"/>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1,235,967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2,218,172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3,956,353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568,295</w:t>
            </w: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w w:val="94"/>
              </w:rPr>
              <w:t>Cost of revenues (including related party amounts of RMB nil, RMB18,868 and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w w:val="95"/>
              </w:rPr>
              <w:t>RMB660 (US$95) for the years ended December 31, 2017, 2018 and 2019,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(1,354,153)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(2,418,562)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(3,948,644)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(567,187)</w:t>
            </w:r>
          </w:p>
        </w:tc>
      </w:tr>
      <w:tr>
        <w:trPr>
          <w:trHeight w:val="27"/>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(118,186)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(200,390)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7,709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1,108</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(115,861)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(191,671)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(317,426)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(45,595)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(93,649)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(146,846)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(238,648)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(34,280)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(399,209)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(440,518)</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(595,169)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(85,491)</w:t>
            </w: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(608,719)</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(779,035)</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(1,151,243)</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(165,366)</w:t>
            </w:r>
          </w:p>
        </w:tc>
        <w:tc>
          <w:tcPr>
            <w:tcW w:w="14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(726,905)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(979,425)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(1,143,534)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(164,258)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19,628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116,500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78,612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11,292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(36,410)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(38,826)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25,863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(102,202)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(38,961)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(5,596)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financial instruments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6,404</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1,226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6,612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r>
      <w:tr>
        <w:trPr>
          <w:trHeight w:val="27"/>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(713,582)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(996,810)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(1,102,196)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(158,319)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(668)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(9,632)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(9,003)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(1,293)</w:t>
            </w:r>
          </w:p>
        </w:tc>
      </w:tr>
      <w:tr>
        <w:trPr>
          <w:trHeight w:val="27"/>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(714,250)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(1,006,442)</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(1,111,199)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(159,612)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shares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(605,515)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(742,472)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(49,725)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(7,143)</w:t>
            </w:r>
          </w:p>
        </w:tc>
      </w:tr>
      <w:tr>
        <w:trPr>
          <w:trHeight w:val="27"/>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(1,319,765)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(1,748,914)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(1,160,924)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(166,755)</w:t>
            </w:r>
          </w:p>
        </w:tc>
      </w:tr>
      <w:tr>
        <w:trPr>
          <w:trHeight w:val="20"/>
        </w:trPr>
        <w:tc>
          <w:tcPr>
            <w:tcW w:w="5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(Continued)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3"/>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140" w:type="dxa"/>
            <w:vAlign w:val="bottom"/>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4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08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56"/>
        </w:trPr>
        <w:tc>
          <w:tcPr>
            <w:tcW w:w="55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04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3"/>
                <w:szCs w:val="13"/>
                <w:color w:val="auto"/>
              </w:rPr>
            </w:pPr>
          </w:p>
        </w:tc>
        <w:tc>
          <w:tcPr>
            <w:tcW w:w="1080" w:type="dxa"/>
            <w:vAlign w:val="bottom"/>
            <w:tcBorders>
              <w:top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the net loss per share computation: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793,430,000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793,430,000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889,521,200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889,521,200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 of nil: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(89,414)</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401,820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64,598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9,279</w:t>
            </w: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(803,664)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(604,622)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(1,046,601)</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(150,333)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3"/>
              </w:rPr>
              <w:t>Accretion to redemption value of redeemable convertible preferred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(605,515)</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(742,472)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(49,725)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(7,143)</w:t>
            </w: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ordinary shareholders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(1,409,179)</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(1,347,094)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(1,096,326)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(157,476)</w:t>
            </w:r>
          </w:p>
        </w:tc>
      </w:tr>
      <w:tr>
        <w:trPr>
          <w:trHeight w:val="20"/>
        </w:trPr>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Series A convertible</w:t>
            </w: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Ordinary shares</w:t>
            </w:r>
          </w:p>
        </w:tc>
        <w:tc>
          <w:tcPr>
            <w:tcW w:w="160" w:type="dxa"/>
            <w:vAlign w:val="bottom"/>
            <w:vMerge w:val="restart"/>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preferred shares</w:t>
            </w:r>
          </w:p>
        </w:tc>
        <w:tc>
          <w:tcPr>
            <w:tcW w:w="16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1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Accumulated</w:t>
            </w: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continue"/>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continue"/>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458,116,000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123,186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793,430,000</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107,344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(860,169)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(624,788)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(714,250)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(714,250)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(89,414)</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(Note 14)</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91,009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91,009</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to redemption value of</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redeemable convertible preferred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(Note 13)</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(91,009)</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(514,506)</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(605,515)</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w w:val="99"/>
              </w:rPr>
              <w:t>Balance as of December 31, 2017</w:t>
            </w: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7"/>
              </w:rPr>
              <w:t>458,116,000</w:t>
            </w:r>
          </w:p>
        </w:tc>
        <w:tc>
          <w:tcPr>
            <w:tcW w:w="160" w:type="dxa"/>
            <w:vAlign w:val="bottom"/>
          </w:tcPr>
          <w:p>
            <w:pPr>
              <w:spacing w:after="0"/>
              <w:rPr>
                <w:sz w:val="19"/>
                <w:szCs w:val="19"/>
                <w:color w:val="auto"/>
              </w:rPr>
            </w:pPr>
          </w:p>
        </w:tc>
        <w:tc>
          <w:tcPr>
            <w:tcW w:w="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9"/>
              </w:rPr>
              <w:t>123,186</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793,430,000</w:t>
            </w:r>
          </w:p>
        </w:tc>
        <w:tc>
          <w:tcPr>
            <w:tcW w:w="160" w:type="dxa"/>
            <w:vAlign w:val="bottom"/>
          </w:tcPr>
          <w:p>
            <w:pPr>
              <w:spacing w:after="0"/>
              <w:rPr>
                <w:sz w:val="19"/>
                <w:szCs w:val="19"/>
                <w:color w:val="auto"/>
              </w:rPr>
            </w:pP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4"/>
              </w:rPr>
              <w:t>4,851</w:t>
            </w: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(2,088,925)</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(1,942,958)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(1,006,442)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(1,006,442)</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401,820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401,820</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14)</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46,941</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46,941</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Accretion to redemption value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w w:val="95"/>
              </w:rPr>
              <w:t>redeemable convertible preferred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shares (Note 13)</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center"/>
              <w:ind w:left="594"/>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(46,941)</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(695,531)</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(742,472)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as of December 31, 2018</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458,116,000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123,186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793,430,000</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4,851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419,750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(3,790,898)</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(3,243,111)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Series A convertible</w:t>
            </w:r>
          </w:p>
        </w:tc>
        <w:tc>
          <w:tcPr>
            <w:tcW w:w="1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Ordinary shares</w:t>
            </w:r>
          </w:p>
        </w:tc>
        <w:tc>
          <w:tcPr>
            <w:tcW w:w="180" w:type="dxa"/>
            <w:vAlign w:val="bottom"/>
            <w:vMerge w:val="restart"/>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preferred shares</w:t>
            </w:r>
          </w:p>
        </w:tc>
        <w:tc>
          <w:tcPr>
            <w:tcW w:w="160" w:type="dxa"/>
            <w:vAlign w:val="bottom"/>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other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1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paid-in</w:t>
            </w:r>
          </w:p>
        </w:tc>
        <w:tc>
          <w:tcPr>
            <w:tcW w:w="11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11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continue"/>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shares*</w:t>
            </w:r>
          </w:p>
        </w:tc>
        <w:tc>
          <w:tcPr>
            <w:tcW w:w="7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income</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as of December 31, 2018</w:t>
            </w:r>
          </w:p>
        </w:tc>
        <w:tc>
          <w:tcPr>
            <w:tcW w:w="1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458,116,000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123,186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793,430,000</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4,851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419,750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(3,790,898)</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(3,243,111)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41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(1,111,199)</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(1,111,199)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415"/>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64,598</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64,598</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(Note 14)</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41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121,279</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121,279</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Exercise and vesting of share-based</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 (Note 14)</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101,281,200</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707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20,192</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Accretion to redemption value of</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w w:val="95"/>
              </w:rPr>
              <w:t>redeemable convertible preferred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shares (Note 13)</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center"/>
              <w:ind w:left="575"/>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(49,725)</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(49,725)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as of December 31, 2019</w:t>
            </w:r>
          </w:p>
        </w:tc>
        <w:tc>
          <w:tcPr>
            <w:tcW w:w="1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458,116,000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894,711,200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5,558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91,746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484,348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(4,902,097)</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(4,197,259)</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w w:val="98"/>
              </w:rPr>
              <w:t>Balance as of December 31, 2019,</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in US$</w:t>
            </w:r>
          </w:p>
        </w:tc>
        <w:tc>
          <w:tcPr>
            <w:tcW w:w="1020" w:type="dxa"/>
            <w:vAlign w:val="bottom"/>
          </w:tcPr>
          <w:p>
            <w:pPr>
              <w:ind w:left="120"/>
              <w:spacing w:after="0"/>
              <w:rPr>
                <w:sz w:val="20"/>
                <w:szCs w:val="20"/>
                <w:color w:val="auto"/>
              </w:rPr>
            </w:pPr>
            <w:r>
              <w:rPr>
                <w:rFonts w:ascii="Arial" w:cs="Arial" w:eastAsia="Arial" w:hAnsi="Arial"/>
                <w:sz w:val="18"/>
                <w:szCs w:val="18"/>
                <w:color w:val="auto"/>
                <w:w w:val="87"/>
              </w:rPr>
              <w:t>458,116,000</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17,695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894,711,200</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798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13,178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69,572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(704,142)</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(602,899)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60" w:hanging="224"/>
        <w:spacing w:after="0" w:line="253" w:lineRule="auto"/>
        <w:tabs>
          <w:tab w:leader="none" w:pos="3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As of December 31, 2018 and 2019, 141,805,476 and 182,375,104 ordinary shares, respectively, were held by share based payment vehicles in relation to the share awards. These shares are legally issued but not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5"/>
              </w:rPr>
              <w:t>For the year ended December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7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7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9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(714,250)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(1,006,442)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(1,111,199)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(159,612)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297,647</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412,352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604,581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86,843</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91,009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46,941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121,279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394</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20,645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2,966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property and equipment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Changes in fair value of financial instruments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(3,016)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(6,404)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(25,863)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102,202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38,961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5,596</w:t>
            </w: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(221,640)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(46,721)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(823,033)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(118,221)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Prepayment and other assets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(39,208)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(25,249)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(5,883)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(154,787)</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84,981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12,207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285,704</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260,090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533,771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76,671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330,058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(132,973)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103,276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18,909</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3,386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(11,163)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(1,603)</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(134,527)</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(383,110)</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(439,132)</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(63,074)</w:t>
            </w:r>
          </w:p>
        </w:tc>
        <w:tc>
          <w:tcPr>
            <w:tcW w:w="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Renminbi (“RMB”) and U.S. dollars (“US$”)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5"/>
              </w:rPr>
              <w:t>For the year ended December 31</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4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9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8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4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(346,083)</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(1,094,640)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(999,538)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(143,575)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(4,898)</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5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(1,901,895)</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(2,866,795)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(1,111,968)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(159,724)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short-term investments</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398,580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2,784,428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3,107,623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446,382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Acquisition of equity investments</w:t>
            </w:r>
          </w:p>
        </w:tc>
        <w:tc>
          <w:tcPr>
            <w:tcW w:w="5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(94,376)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(13,556)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Asset-related government grants received</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39,560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paid for 2016 business acquisition</w:t>
            </w:r>
          </w:p>
        </w:tc>
        <w:tc>
          <w:tcPr>
            <w:tcW w:w="5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Loans to senior executives</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(23,379)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(3,358)</w:t>
            </w: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Net cash (used in) generated from investing activities</w:t>
            </w:r>
          </w:p>
        </w:tc>
        <w:tc>
          <w:tcPr>
            <w:tcW w:w="5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(1,820,636)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(1,173,559)</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883,247</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126,870</w:t>
            </w:r>
          </w:p>
        </w:tc>
        <w:tc>
          <w:tcPr>
            <w:tcW w:w="14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 of long-term bank loan</w:t>
            </w:r>
          </w:p>
        </w:tc>
        <w:tc>
          <w:tcPr>
            <w:tcW w:w="5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(80,000)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(80,787)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(11,604)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bank loan</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Repayments of capital lease obligations</w:t>
            </w:r>
          </w:p>
        </w:tc>
        <w:tc>
          <w:tcPr>
            <w:tcW w:w="5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(10,652)</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(6,551)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 due to a related party</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 of loan due to a related party</w:t>
            </w:r>
          </w:p>
        </w:tc>
        <w:tc>
          <w:tcPr>
            <w:tcW w:w="5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(329,500)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(225,000)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(32,319)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warrants</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53,186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Proceeds from exercise of options</w:t>
            </w:r>
          </w:p>
        </w:tc>
        <w:tc>
          <w:tcPr>
            <w:tcW w:w="5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20,899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3,002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redeemable convertible preferred shares, net of issuance costs</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1,723,038</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2,851,883</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349,395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50,187</w:t>
            </w:r>
          </w:p>
        </w:tc>
      </w:t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5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1,861,177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2,435,832</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64,507</w:t>
            </w:r>
          </w:p>
        </w:tc>
        <w:tc>
          <w:tcPr>
            <w:tcW w:w="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9,266</w:t>
            </w:r>
          </w:p>
        </w:tc>
        <w:tc>
          <w:tcPr>
            <w:tcW w:w="14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(38,589)</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54,471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5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(93,986)</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879,163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508,622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73,062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706,012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573,437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1,507,071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216,477</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573,437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1,507,071</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2,023,263</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290,624</w:t>
            </w:r>
          </w:p>
        </w:tc>
        <w:tc>
          <w:tcPr>
            <w:tcW w:w="14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taxes paid</w:t>
            </w:r>
          </w:p>
        </w:tc>
        <w:tc>
          <w:tcPr>
            <w:tcW w:w="5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5,013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4,277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paid</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43,579</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33,544</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3,468</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Purchases of property and equipment included in accrued expenses and other</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132,686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609,363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87,530</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w w:val="92"/>
              </w:rPr>
              <w:t>Acquisitions of equity investments included in accrued expenses and other current</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15,500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2,226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7"/>
              </w:rPr>
              <w:t>Conversion of warrants into Series D redeemable convertible preferred shares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42,365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w w:val="97"/>
              </w:rPr>
              <w:t>Series D+ redeemable convertible preferred shares issuance costs included in</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10,276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1,476</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Kingsoft Cloud Holdings Limited (the “Company”) is a limited liability company incorporated in the Cayman Islands on January 3, 2012. The Company, its subsidiaries, the variable interest entities, and subsidiaries of the variable interest entities are hereinafter collectively referred to as the “Group”. The Group is principally engaged in the provision of cloud services. The Company does not conduct any substantive operations on its own but instead conducts its primary business operations through its subsidiaries, the variable interest entities, and subsidiaries of the variable interest entities, which are located in the People’s Republic of China (the “PRC”), Hong Kong (“HK”) and the United States (the “U.S.”).</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December 31, 2019, the Company’s principal subsidiaries, variable interest entities, and subsidiaries of the variable interest entities,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Percentage of</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equity</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Date of</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interest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Place of</w:t>
            </w:r>
          </w:p>
        </w:tc>
        <w:tc>
          <w:tcPr>
            <w:tcW w:w="2020" w:type="dxa"/>
            <w:vAlign w:val="bottom"/>
            <w:gridSpan w:val="2"/>
            <w:vMerge w:val="continue"/>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18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establishment/</w:t>
            </w: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to the</w:t>
            </w:r>
          </w:p>
        </w:tc>
        <w:tc>
          <w:tcPr>
            <w:tcW w:w="14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4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87"/>
              </w:rPr>
              <w:t>establishment</w:t>
            </w:r>
          </w:p>
        </w:tc>
        <w:tc>
          <w:tcPr>
            <w:tcW w:w="20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acquisition</w:t>
            </w:r>
          </w:p>
        </w:tc>
        <w:tc>
          <w:tcPr>
            <w:tcW w:w="154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3"/>
              </w:rPr>
              <w:t>Company</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Subsidiaries:</w:t>
            </w:r>
          </w:p>
        </w:tc>
        <w:tc>
          <w:tcPr>
            <w:tcW w:w="84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Kingsoft Cloud Corporation Limited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HK</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February 1, 2012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Kingsoft Cloud Inc.</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U.S.</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December 22, 2017</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Kingsoft Cloud Technology Co., Ltd. (“Beijing</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Kingsoft Cloud”)*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April 9, 2012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Yunxiang Zhisheng Technology Co., Ltd.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(“Yunxiang Zhisheng”)*</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December 15, 2015</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60" w:type="dxa"/>
            <w:vAlign w:val="bottom"/>
          </w:tcPr>
          <w:p>
            <w:pPr>
              <w:jc w:val="right"/>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Variable interest entities:</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Zhuhai Kingsoft Cloud Technology Co., Ltd. (“Zhuhai</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Kingsoft Cloud”)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November 9, 2012</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Kingsoft Cloud (Beijing) Information Technology Co.,</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Ltd. (“Kingsoft Cloud Information”)</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April 13, 2018</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w w:val="95"/>
              </w:rPr>
              <w:t>Investment holding</w:t>
            </w:r>
          </w:p>
        </w:tc>
        <w:tc>
          <w:tcPr>
            <w:tcW w:w="0" w:type="dxa"/>
            <w:vAlign w:val="bottom"/>
          </w:tcPr>
          <w:p>
            <w:pPr>
              <w:spacing w:after="0"/>
              <w:rPr>
                <w:sz w:val="1"/>
                <w:szCs w:val="1"/>
                <w:color w:val="auto"/>
              </w:rPr>
            </w:pP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Variable interest entities’ subsidiaries:</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Kingsoft Cloud Network Technology Co., Ltd.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(“Beijing Kingsoft Cloud Network Technology”)</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November 9, 2012</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Beijing Jinxun Ruibo Network Technology Co., Ltd.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(“Beijing Jinxun Ruibo”)</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December 17, 2015</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Nanjing Qianyi Shixun Information Technology Co.,</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PRC</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2016</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Nil</w:t>
            </w:r>
          </w:p>
        </w:tc>
        <w:tc>
          <w:tcPr>
            <w:tcW w:w="1460" w:type="dxa"/>
            <w:vAlign w:val="bottom"/>
          </w:tcPr>
          <w:p>
            <w:pPr>
              <w:jc w:val="right"/>
              <w:spacing w:after="0"/>
              <w:rPr>
                <w:sz w:val="20"/>
                <w:szCs w:val="20"/>
                <w:color w:val="auto"/>
              </w:rPr>
            </w:pPr>
            <w:r>
              <w:rPr>
                <w:rFonts w:ascii="Arial" w:cs="Arial" w:eastAsia="Arial" w:hAnsi="Arial"/>
                <w:sz w:val="18"/>
                <w:szCs w:val="18"/>
                <w:color w:val="auto"/>
              </w:rPr>
              <w:t>Cloud services</w:t>
            </w:r>
          </w:p>
        </w:tc>
        <w:tc>
          <w:tcPr>
            <w:tcW w:w="0" w:type="dxa"/>
            <w:vAlign w:val="bottom"/>
          </w:tcPr>
          <w:p>
            <w:pPr>
              <w:spacing w:after="0"/>
              <w:rPr>
                <w:sz w:val="1"/>
                <w:szCs w:val="1"/>
                <w:color w:val="auto"/>
              </w:rPr>
            </w:pPr>
          </w:p>
        </w:tc>
      </w:tr>
      <w:tr>
        <w:trPr>
          <w:trHeight w:val="407"/>
        </w:trPr>
        <w:tc>
          <w:tcPr>
            <w:tcW w:w="4540" w:type="dxa"/>
            <w:vAlign w:val="bottom"/>
            <w:gridSpan w:val="2"/>
          </w:tcPr>
          <w:p>
            <w:pPr>
              <w:spacing w:after="0"/>
              <w:rPr>
                <w:sz w:val="20"/>
                <w:szCs w:val="20"/>
                <w:color w:val="auto"/>
              </w:rPr>
            </w:pPr>
            <w:r>
              <w:rPr>
                <w:rFonts w:ascii="Arial" w:cs="Arial" w:eastAsia="Arial" w:hAnsi="Arial"/>
                <w:sz w:val="14"/>
                <w:szCs w:val="14"/>
                <w:color w:val="auto"/>
              </w:rPr>
              <w:t>*  collectively, the “WFOE”</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F-12</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3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To comply with PRC laws and regulations which prohibit foreign control of companies that engage in value-added telecommunication services, the Group primarily conducts its business in the PRC through its variable interest entities, Zhuhai Kingsoft Cloud and Kingsoft Cloud Information, and subsidiaries of its variable interest entities (collectively, the “VIEs”). The equity interests of the VIEs are legally held by PRC shareholders (the “Nominee Shareholders”). Despite the lack of technical majority ownership, the Company through WFOE has effective control of the VIEs through a series of contractual arrangements (the “Contractual Agreements”) and a parent-subsidiary relationship exists between the Company and the VIEs. Through the Contractual Agreements, the Nominee Shareholders effectively assigned all of their voting rights underlying their equity interests in the VIEs to the Company and therefore, the Company has the power to direct the activities of the VIEs that most significantly impact its economic performance. The Company also has the ability and obligation to absorb substantially all of the profits and all the expected losses of the VIEs that potentially could be significant to the VIEs. The WFOE was the primary beneficiary of the VIEs through December 2019 and the Company has replaced the WFOE as the primary beneficiary of the VIEs since December 2019. Based on the above, the Company consolidates the VIEs in accordance with SEC Regulation SX-3A-02 and Accounting Standards Codification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Contractual Agreements: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Shareholder Voting Right Trust Agreements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Pursuant to the shareholder voting right trust agreements signed amongst Beijing Kingsoft Cloud, Zhuhai Kingsoft Cloud and its Nominee Shareholders, each Nominee Shareholder irrevocably authorizes the person designated by Beijing Kingsoft Cloud to act as his, her or its attorney-in-fact (“AIF”) to exercise on such Nominee Shareholder’s behalf any and all rights that such shareholder has in respect of his, her or its equity interests in Zhuhai Kingsoft Cloud. Beijing Kingsoft Cloud has the right to replace the authorized AIF at any time upon written notice without consent from the other parties. The rights as a shareholder of Zhuhai Kingsoft Cloud, including, but not limited to, the right to attend shareholders’ meetings, vote on any resolution that requires a shareholder vote, such as the appointment of executive directors and senior management. The shareholder voting right trust agreements have a term of 10 years and are subject to automatic renewal on an annual basis unless they are terminated by Beijing Kingsoft Cloud at its sole discretion. Zhuhai Kingsoft Cloud and its Nominee Shareholders have no right to unilaterally terminate the agreement.</w:t>
      </w:r>
    </w:p>
    <w:p>
      <w:pPr>
        <w:spacing w:after="0" w:line="16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terms of the shareholder voting right trust agreements signed amongst Yunxiang Zhisheng, Kingsoft Cloud Information and its Nominee Shareholders are the same as the terms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Loan Agreements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Beijing Kingsoft Cloud has granted interest-free loans with an aggregate amount of RMB279 to one shareholder of Zhuhai Kingsoft Cloud. The loan was solely for the purposes of capital injection of Zhuhai Kingsoft Cloud. The loans are only repayable by the shareholder through a transfer of her equity interests in Zhuhai Kingsoft Cloud to Beijing Kingsoft Cloud or its designated person(s).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680" w:hanging="444"/>
        <w:spacing w:after="0" w:line="385" w:lineRule="auto"/>
        <w:tabs>
          <w:tab w:leader="none" w:pos="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(Continued) </w:t>
      </w:r>
      <w:r>
        <w:rPr>
          <w:rFonts w:ascii="Arial" w:cs="Arial" w:eastAsia="Arial" w:hAnsi="Arial"/>
          <w:sz w:val="18"/>
          <w:szCs w:val="18"/>
          <w:b w:val="1"/>
          <w:bCs w:val="1"/>
          <w:i w:val="1"/>
          <w:iCs w:val="1"/>
          <w:color w:val="auto"/>
        </w:rPr>
        <w:t>Loan Agreements (Continued)</w:t>
      </w:r>
    </w:p>
    <w:p>
      <w:pPr>
        <w:spacing w:after="0" w:line="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terms of the loan agreement signed between Yunxiang Zhisheng and all Nominee Shareholders of Kingsoft Cloud Information are the same as the terms described above, except that the total amount of loans extended to all Nominee Shareholders of Kingsoft Cloud Information is RMB10,000.</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Purchase Option Agreements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Pursuant to the exclusive purchase option agreement between Beijing Kingsoft Cloud, Zhuhai Kingsoft Cloud and its Nominee Shareholders, Beijing Kingsoft Cloud has an exclusive irrevocable option to purchase, all or part of the equity interests in Zhuhai Kingsoft Cloud, when and to the extent permitted under PRC law. The purchase price of the equity interests in Zhuhai Kingsoft Cloud shall be equal to the minimum amount of consideration permitted by applicable PRC law or either RMB 0.001 or the loan amount, whichever is higher. In addition, the Nominee Shareholders granted Beijing Kingsoft Cloud an exclusive right to designate one or more persons to purchase all or part of the equity interests in Zhuhai Kingsoft Cloud. The exclusive purchase option agreement will terminate when the Nominee Shareholders transfer all of their equity interests in Zhuhai Kingsoft Cloud to Beijing Kingsoft Cloud or its designated person(s).</w:t>
      </w:r>
    </w:p>
    <w:p>
      <w:pPr>
        <w:spacing w:after="0" w:line="195"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terms of the exclusive purchase option agreement signed amongst Yunxiang Zhisheng, Kingsoft Cloud Information and its Nominee Shareholders are the same as the terms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Consultation and Technical Services Agreements</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Pursuant to the exclusive consultation and technical services agreement between Beijing Kingsoft Cloud and Zhuhai Kingsoft Cloud, Beijing Kingsoft Cloud has the sole and exclusive right to provide Zhuhai Kingsoft Cloud consulting services and technical services. Without the prior written consent of Beijing Kingsoft Cloud, Zhuhai Kingsoft Cloud may not directly or indirectly accept any services subject to the exclusive consultation and technical services agreement from any third party, while Beijing Kingsoft Cloud has the right to designate any party to provide such services. Zhuhai Kingsoft Cloud will pay Beijing Kingsoft Cloud a service fee periodically which is adjustable at the sole discretion of Beijing Kingsoft Cloud. The exclusive consultation and technical services agreement will remain effective for 20 years unless both parties agree to terminate the agreement. The agreement can also be renewed at the discretion of Beijing Kingsoft Cloud.</w:t>
      </w:r>
    </w:p>
    <w:p>
      <w:pPr>
        <w:spacing w:after="0" w:line="17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terms of the exclusive consultation and technical services agreement signed between Yunxiang Zhisheng and Kingsoft Cloud Information are the same as the terms described above, except that the agreement will continuously remain effective unless both parties agree to terminate the agreement.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Pledge Agreements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Pursuant to the equity pledge agreement amongst Beijing Kingsoft Cloud, Zhuhai Kingsoft Cloud and its Nominee Shareholders, the Nominee Shareholders have pledged all of their equity interests in Zhuhai Kingsoft Cloud to Beijing Kingsoft Cloud to guarantee performance of their obligations under the Contractual Agreements described above. During the term of the equity pledge agreement, Beijing Kingsoft Cloud has the right to receive all of Zhuhai Kingsoft Cloud’s dividends and profits distributed on the pledged equity. In the event of a breach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680" w:hanging="444"/>
        <w:spacing w:after="0" w:line="385" w:lineRule="auto"/>
        <w:tabs>
          <w:tab w:leader="none" w:pos="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(Continued) </w:t>
      </w:r>
      <w:r>
        <w:rPr>
          <w:rFonts w:ascii="Arial" w:cs="Arial" w:eastAsia="Arial" w:hAnsi="Arial"/>
          <w:sz w:val="18"/>
          <w:szCs w:val="18"/>
          <w:b w:val="1"/>
          <w:bCs w:val="1"/>
          <w:i w:val="1"/>
          <w:iCs w:val="1"/>
          <w:color w:val="auto"/>
        </w:rPr>
        <w:t>Equity Pledge Agreements (Continued)</w:t>
      </w:r>
    </w:p>
    <w:p>
      <w:pPr>
        <w:spacing w:after="0" w:line="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by Zhuhai Kingsoft Cloud or any of its Nominee Shareholders of the contractual obligations under the equity pledge agreement, Beijing Kingsoft Cloud, as pledgee, will have the right to dispose of the pledged equity interests in Zhuhai Kingsoft Cloud and will have priority in receiving the proceeds from such disposal. Zhuhai Kingsoft Cloud and its Nominee Shareholders undertake that, without the prior written consent of Beijing Kingsoft Cloud, they will not transfer, or create or allow any encumbrance on the pledged equity interests. The equity pledge agreements will be in effect permanently until Zhuhai Kingsoft Cloud and its Nominee Shareholders have fulfilled all the obligations under the Contractual Agreements.</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terms of the equity pledge agreement signed amongst Yunxiang Zhisheng, Kingsoft Cloud Information and its Nominee Shareholders are the same as the terms described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November and December 2019, Contractual Agreements were supplemented by the following terms:</w:t>
      </w:r>
    </w:p>
    <w:p>
      <w:pPr>
        <w:spacing w:after="0" w:line="252"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Shareholder Voting Right Trust Agreements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shareholder voting right trust agreements are valid as long as the Nominee Shareholders remain the shareholders of the VIEs.</w:t>
      </w:r>
    </w:p>
    <w:p>
      <w:pPr>
        <w:spacing w:after="0" w:line="263" w:lineRule="exact"/>
        <w:rPr>
          <w:rFonts w:ascii="Arial" w:cs="Arial" w:eastAsia="Arial" w:hAnsi="Arial"/>
          <w:sz w:val="17"/>
          <w:szCs w:val="17"/>
          <w:color w:val="auto"/>
        </w:rPr>
      </w:pPr>
    </w:p>
    <w:p>
      <w:pPr>
        <w:ind w:left="540" w:hanging="424"/>
        <w:spacing w:after="0"/>
        <w:tabs>
          <w:tab w:leader="none" w:pos="540"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Purchase Option Agreements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Without the prior consent of the WFOE, the VIEs and the Nominee Shareholders shall not: (i) amend the articles of association,</w:t>
      </w:r>
    </w:p>
    <w:p>
      <w:pPr>
        <w:spacing w:after="0" w:line="34" w:lineRule="exact"/>
        <w:rPr>
          <w:rFonts w:ascii="Arial" w:cs="Arial" w:eastAsia="Arial" w:hAnsi="Arial"/>
          <w:sz w:val="17"/>
          <w:szCs w:val="17"/>
          <w:color w:val="auto"/>
        </w:rPr>
      </w:pPr>
    </w:p>
    <w:p>
      <w:pPr>
        <w:ind w:left="1080" w:right="60" w:firstLine="8"/>
        <w:spacing w:after="0" w:line="281" w:lineRule="auto"/>
        <w:tabs>
          <w:tab w:leader="none" w:pos="1345" w:val="left"/>
        </w:tabs>
        <w:numPr>
          <w:ilvl w:val="2"/>
          <w:numId w:val="125"/>
        </w:numPr>
        <w:rPr>
          <w:rFonts w:ascii="Arial" w:cs="Arial" w:eastAsia="Arial" w:hAnsi="Arial"/>
          <w:sz w:val="16"/>
          <w:szCs w:val="16"/>
          <w:color w:val="auto"/>
        </w:rPr>
      </w:pPr>
      <w:r>
        <w:rPr>
          <w:rFonts w:ascii="Arial" w:cs="Arial" w:eastAsia="Arial" w:hAnsi="Arial"/>
          <w:sz w:val="16"/>
          <w:szCs w:val="16"/>
          <w:color w:val="auto"/>
        </w:rPr>
        <w:t>increase or decrease the registered capital, (iii) sell or otherwise dispose of their assets or beneficial interest, (iv) create or allow any encumbrance on their assets or other beneficial interests, (v) extend any loans to third parties, (vi) enter into any material contracts (except those contracts entered into in the ordinary course of business), (vii) merge with or acquire any other persons or make any investments, or</w:t>
      </w:r>
    </w:p>
    <w:p>
      <w:pPr>
        <w:spacing w:after="0" w:line="1" w:lineRule="exact"/>
        <w:rPr>
          <w:rFonts w:ascii="Arial" w:cs="Arial" w:eastAsia="Arial" w:hAnsi="Arial"/>
          <w:sz w:val="16"/>
          <w:szCs w:val="16"/>
          <w:color w:val="auto"/>
        </w:rPr>
      </w:pPr>
    </w:p>
    <w:p>
      <w:pPr>
        <w:ind w:left="1500" w:hanging="412"/>
        <w:spacing w:after="0"/>
        <w:tabs>
          <w:tab w:leader="none" w:pos="15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distribute dividends to their shareholders.</w:t>
      </w:r>
    </w:p>
    <w:p>
      <w:pPr>
        <w:spacing w:after="0" w:line="116" w:lineRule="exact"/>
        <w:rPr>
          <w:rFonts w:ascii="Arial" w:cs="Arial" w:eastAsia="Arial" w:hAnsi="Arial"/>
          <w:sz w:val="18"/>
          <w:szCs w:val="18"/>
          <w:color w:val="auto"/>
        </w:rPr>
      </w:pPr>
    </w:p>
    <w:p>
      <w:pPr>
        <w:ind w:left="1080" w:right="80" w:hanging="424"/>
        <w:spacing w:after="0" w:line="277" w:lineRule="auto"/>
        <w:tabs>
          <w:tab w:leader="none" w:pos="10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proceeds received by the Nominee Shareholders from the exercise of the option, distribution of profits or dividends, shall be remitted to the WFOE or their designated person(s), to the extent permitted under PRC laws.</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Exclusive Consultation and Technical Service Agreements</w:t>
      </w:r>
    </w:p>
    <w:p>
      <w:pPr>
        <w:spacing w:after="0" w:line="130" w:lineRule="exact"/>
        <w:rPr>
          <w:rFonts w:ascii="Arial" w:cs="Arial" w:eastAsia="Arial" w:hAnsi="Arial"/>
          <w:sz w:val="18"/>
          <w:szCs w:val="18"/>
          <w:i w:val="1"/>
          <w:iCs w:val="1"/>
          <w:color w:val="auto"/>
        </w:rPr>
      </w:pPr>
    </w:p>
    <w:p>
      <w:pPr>
        <w:ind w:left="1080" w:hanging="424"/>
        <w:spacing w:after="0"/>
        <w:tabs>
          <w:tab w:leader="none" w:pos="10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exclusive consultation and technical services agreements will remain effective unless terminated by the WFOE at its sole discretion.</w:t>
      </w:r>
    </w:p>
    <w:p>
      <w:pPr>
        <w:spacing w:after="0" w:line="275" w:lineRule="exact"/>
        <w:rPr>
          <w:rFonts w:ascii="Arial" w:cs="Arial" w:eastAsia="Arial" w:hAnsi="Arial"/>
          <w:sz w:val="16"/>
          <w:szCs w:val="16"/>
          <w:color w:val="auto"/>
        </w:rPr>
      </w:pPr>
    </w:p>
    <w:p>
      <w:pPr>
        <w:ind w:left="540" w:hanging="424"/>
        <w:spacing w:after="0"/>
        <w:tabs>
          <w:tab w:leader="none" w:pos="54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Support Undertaking Letter</w:t>
      </w:r>
    </w:p>
    <w:p>
      <w:pPr>
        <w:spacing w:after="0" w:line="130" w:lineRule="exact"/>
        <w:rPr>
          <w:rFonts w:ascii="Arial" w:cs="Arial" w:eastAsia="Arial" w:hAnsi="Arial"/>
          <w:sz w:val="18"/>
          <w:szCs w:val="18"/>
          <w:i w:val="1"/>
          <w:iCs w:val="1"/>
          <w:color w:val="auto"/>
        </w:rPr>
      </w:pPr>
    </w:p>
    <w:p>
      <w:pPr>
        <w:ind w:left="1080" w:right="20" w:hanging="424"/>
        <w:spacing w:after="0" w:line="259"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Pursuant to the financial support undertaking letter, the Company is obligated and hereby undertakes to provide unlimited financial support to the VIEs, to the extent permissible under the applicable PRC laws and regulations, whether or not any such operational loss is actually incurred. The Company will not request repayment of the loans or borrowings if the VIEs or its Nominee Shareholders do not have sufficient funds or are unable to repay.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35"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Resolutions of all Shareholders and resolution of the Board of Directors of the Company</w:t>
      </w:r>
    </w:p>
    <w:p>
      <w:pPr>
        <w:spacing w:after="0" w:line="130" w:lineRule="exact"/>
        <w:rPr>
          <w:rFonts w:ascii="Arial" w:cs="Arial" w:eastAsia="Arial" w:hAnsi="Arial"/>
          <w:sz w:val="18"/>
          <w:szCs w:val="18"/>
          <w:i w:val="1"/>
          <w:iCs w:val="1"/>
          <w:color w:val="auto"/>
        </w:rPr>
      </w:pPr>
    </w:p>
    <w:p>
      <w:pPr>
        <w:jc w:val="both"/>
        <w:ind w:left="1080" w:hanging="424"/>
        <w:spacing w:after="0" w:line="263" w:lineRule="auto"/>
        <w:tabs>
          <w:tab w:leader="none" w:pos="1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Shareholders and the Company’s Board of Directors resolved that the rights under the Shareholder Voting Right Trust Agreements and the Exclusive Purchase Option Agreements were assigned to the Board of Directors of the Company or any officer authorized by the Board of Directors.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As a result, the power and the rights pursuant to the shareholder voting right trust agreements have since been effectively reassigned to the Company which has the power to direct the activities of the VIEs that most significantly impact the VIEs’ economic performance. The Company is also obligated to absorb the expected losses of the VIEs through the financial support as described above. Therefore, the Company has replaced the WFOE as the primary beneficiary of the VIEs since December 2019. As the VIEs were subject to indirect control by the Company through the WFOE immediately before and direct control immediately after the Contractual Agreements were supplemented, the change of the primary beneficiary of the VIEs was accounted for as a common control transaction based on the carrying amount of the net assets transferred.</w:t>
      </w:r>
    </w:p>
    <w:p>
      <w:pPr>
        <w:spacing w:after="0" w:line="17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the opinion of the Company’s legal counsel, (i) the ownership structure relating to the VIEs complies with current PRC laws and regulations; and (ii) the Contractual Agreements with the VIEs and the Nominee Shareholders are valid, binding and enforceable on all parties to these Contractual Agreements and do not violate current PRC laws or regulations; (iii) the resolutions are valid in accordance with the articles of association of the Company and Cayman Islands Law.</w:t>
      </w:r>
    </w:p>
    <w:p>
      <w:pPr>
        <w:spacing w:after="0" w:line="18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However, uncertainties in the PRC legal system could cause the relevant regulatory authorities to find the current Contractual Agreements and businesses to be in violation of any existing or future PRC laws or regulations and could limit the Company’s ability to enforce its rights under these contractual arrangements. Furthermore, the Nominee Shareholders of the VIEs may have interests that are different from those of the Company, which could potentially increase the risk that they would seek to act contrary to the terms of the Contractual Agreements with the VIEs. In addition, if the Nominee Shareholders will not remain the shareholders of the VIEs, breach, or cause the VIEs to breach, or refuse to renew the existing Contractual Arrangements the Company has with them and the VIEs, the Company may not be able to effectively control the VIEs and receive economic benefits from them, which may result in deconsolidation of the VIEs.</w:t>
      </w:r>
    </w:p>
    <w:p>
      <w:pPr>
        <w:spacing w:after="0" w:line="17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In addition, if the current structure or any of the contractual arrangements were found to be in violation of any existing or future PRC laws or regulations, the Company may be subject to penalties, including but not be limited to, revocation of business and operating licenses, discontinuing or restricting business operations, restricting the Company’s right to collect revenues, temporary or permanent blocking of the Company’s internet platforms,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3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the assets, liabilities, results of operations and cash flows of the VIEs included in the Company’s consolidated balance sheets, consolidated statements of comprehensive loss and consolidated statements of cash flows: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at December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9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60" w:type="dxa"/>
            <w:vAlign w:val="bottom"/>
            <w:gridSpan w:val="2"/>
          </w:tcPr>
          <w:p>
            <w:pPr>
              <w:jc w:val="center"/>
              <w:ind w:left="5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c>
          <w:tcPr>
            <w:tcW w:w="9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9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795,673</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751,103</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107,889</w:t>
            </w:r>
          </w:p>
        </w:tc>
        <w:tc>
          <w:tcPr>
            <w:tcW w:w="0" w:type="dxa"/>
            <w:vAlign w:val="bottom"/>
          </w:tcPr>
          <w:p>
            <w:pPr>
              <w:spacing w:after="0"/>
              <w:rPr>
                <w:sz w:val="1"/>
                <w:szCs w:val="1"/>
                <w:color w:val="auto"/>
              </w:rPr>
            </w:pPr>
          </w:p>
        </w:tc>
      </w:tr>
      <w:tr>
        <w:trPr>
          <w:trHeight w:val="202"/>
        </w:trPr>
        <w:tc>
          <w:tcPr>
            <w:tcW w:w="7820" w:type="dxa"/>
            <w:vAlign w:val="bottom"/>
          </w:tcPr>
          <w:p>
            <w:pPr>
              <w:spacing w:after="0" w:line="201" w:lineRule="exact"/>
              <w:rPr>
                <w:sz w:val="20"/>
                <w:szCs w:val="20"/>
                <w:color w:val="auto"/>
              </w:rPr>
            </w:pPr>
            <w:r>
              <w:rPr>
                <w:rFonts w:ascii="Arial" w:cs="Arial" w:eastAsia="Arial" w:hAnsi="Arial"/>
                <w:sz w:val="18"/>
                <w:szCs w:val="18"/>
                <w:color w:val="auto"/>
                <w:w w:val="96"/>
              </w:rPr>
              <w:t>Accounts receivable, net of allowance of RMB2,249 and RMB22,894 (US$3,289) as of December 31,</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2018 and 2019, respectively</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541,584</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1,317,110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189,191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235,302</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385,402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195,769</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106,368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15,279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subsidiaries of the Group</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487,254</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787,900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113,175</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2,255,582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3,347,883</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480,894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974,053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1,465,338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210,483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9,104</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6,487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64,152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32,624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920" w:type="dxa"/>
            <w:vAlign w:val="bottom"/>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2,336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1,054,645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1,578,785</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226,779</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3,310,227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4,926,668</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707,673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Accounts payable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709,802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1,236,706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177,642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355,236</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780,991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112,182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Long-term bank loan, current portion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80,786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100,000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14,364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85,227</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50,472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Amounts due to subsidiaries of the Group</w:t>
            </w:r>
          </w:p>
        </w:tc>
        <w:tc>
          <w:tcPr>
            <w:tcW w:w="920" w:type="dxa"/>
            <w:vAlign w:val="bottom"/>
          </w:tcPr>
          <w:p>
            <w:pPr>
              <w:jc w:val="right"/>
              <w:spacing w:after="0"/>
              <w:rPr>
                <w:sz w:val="20"/>
                <w:szCs w:val="20"/>
                <w:color w:val="auto"/>
              </w:rPr>
            </w:pPr>
            <w:r>
              <w:rPr>
                <w:rFonts w:ascii="Arial" w:cs="Arial" w:eastAsia="Arial" w:hAnsi="Arial"/>
                <w:sz w:val="18"/>
                <w:szCs w:val="18"/>
                <w:color w:val="auto"/>
              </w:rPr>
              <w:t>605,691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1,010,663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145,173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1,836,742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3,178,832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456,611</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Long-term bank loan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174,352</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74,351</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206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Amounts due to subsidiaries of the Group</w:t>
            </w:r>
          </w:p>
        </w:tc>
        <w:tc>
          <w:tcPr>
            <w:tcW w:w="920" w:type="dxa"/>
            <w:vAlign w:val="bottom"/>
          </w:tcPr>
          <w:p>
            <w:pPr>
              <w:jc w:val="right"/>
              <w:spacing w:after="0"/>
              <w:rPr>
                <w:sz w:val="20"/>
                <w:szCs w:val="20"/>
                <w:color w:val="auto"/>
              </w:rPr>
            </w:pPr>
            <w:r>
              <w:rPr>
                <w:rFonts w:ascii="Arial" w:cs="Arial" w:eastAsia="Arial" w:hAnsi="Arial"/>
                <w:sz w:val="18"/>
                <w:szCs w:val="18"/>
                <w:color w:val="auto"/>
              </w:rPr>
              <w:t>2,857,548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4,244,727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609,717</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3,177,283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4,319,284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620,427</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5,014,025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7,498,116</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1,077,038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5340"/>
              <w:spacing w:after="0"/>
              <w:rPr>
                <w:sz w:val="20"/>
                <w:szCs w:val="20"/>
                <w:color w:val="auto"/>
              </w:rPr>
            </w:pPr>
            <w:r>
              <w:rPr>
                <w:rFonts w:ascii="Arial" w:cs="Arial" w:eastAsia="Arial" w:hAnsi="Arial"/>
                <w:sz w:val="18"/>
                <w:szCs w:val="18"/>
                <w:color w:val="auto"/>
              </w:rPr>
              <w:t>F-17</w:t>
            </w: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 (Continued)</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3"/>
              </w:rPr>
              <w:t>For the 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86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96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56"/>
        </w:trPr>
        <w:tc>
          <w:tcPr>
            <w:tcW w:w="6820" w:type="dxa"/>
            <w:vAlign w:val="bottom"/>
          </w:tcPr>
          <w:p>
            <w:pPr>
              <w:spacing w:after="0"/>
              <w:rPr>
                <w:sz w:val="13"/>
                <w:szCs w:val="13"/>
                <w:color w:val="auto"/>
              </w:rPr>
            </w:pPr>
          </w:p>
        </w:tc>
        <w:tc>
          <w:tcPr>
            <w:tcW w:w="86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8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1,235,967</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2,218,172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3,882,352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557,665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(530,807)</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(872,291)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(970,344)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(139,381)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(108,750)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(451,199)</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(785,378)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(112,812)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(293,956)</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(990,734)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(836,981)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(120,225)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752,966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1,838,484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1,618,102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(232,426)</w:t>
            </w:r>
          </w:p>
        </w:tc>
      </w:tr>
    </w:tbl>
    <w:p>
      <w:pPr>
        <w:spacing w:after="0" w:line="20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revenue-producing assets that are held by the VIEs comprise mainly of electronic equipment, and data center machinery and equipment. The VIEs contributed an aggregate of 100%, 100% and 98.1% of the Group’s consolidated revenue for the years ended December 31, 2017, 2018 and 2019, respectively, after elimination of inter-entity transactions.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2019, there was no pledge or collateralization of the VIEs’ assets that can only be used to settle obligations of the VIEs. Other than the amounts due to subsidiaries of the Group (which are eliminated upon consolidation), all remaining liabilities of the VIEs are without recourse to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consolidated financial statements have been prepared in accordance with United States generally accepted accounting principles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GAAP”).</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consolidated financial statements of the Group include the financial statements of the Company, its subsidiaries, and the VIEs for which the Company is the primary beneficiary. All significant intercompany balances and transactions have been eliminated upon consolidation.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 and expenses during the reporting periods. Significant estimates and assumptions reflected in the Group’s consolidated financial statements include, but are not limited to, allowance for doubtful accounts for accounts receivable and contract assets, standalone selling prices of performance obligations in revenue contracts, impairment of long-lived assets, realization of deferred tax assets, share-based compensation expense and the fair value of financial instruments. Management bases the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Group’s financial information is presented in Renminbi (“RMB”). The functional currency of the Company and Kingsoft Cloud Inc. is U.S. dollars (“US$”). The functional currency of Kingsoft Cloud Corporation Limited is Hong Kong Dollars (“HK$”). The functional currency of the Company’s subsidiaries and the VIEs located in the PRC is RMB.</w:t>
      </w:r>
    </w:p>
    <w:p>
      <w:pPr>
        <w:spacing w:after="0" w:line="18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 in foreign currency are re-measured using the exchange rates at the dates of the initial transactions. Exchange gains and losses are included in the consolidated statements of comprehensive loss. The Company uses the average exchange rate for the year and the exchange rate at the balance sheet date to translate the operating results and financial position, respectively. Translation differences are recorded in accumulated other comprehensive income, a component of shareholders’ deficit.</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Convenience translation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Amounts in U.S. dollars are presented for the convenience of the reader and are translated at the noon buying rate of RMB6.9618 per US$1.00 on December 31, 2019 in the City of New York for cable transfers of RMB as certified for customs purposes by the Federal Reserve Bank of New York. No representation is made that the RMB amounts could have been, or could be, converted into US$ at such rate.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Cash and cash equivalents consist of cash on hand and time deposits or other highly liquid investments placed with banks or other financial institutions which are unrestricted as to withdrawal or use and have original maturities of less than three months. There are no restricted cash balances for the periods presented.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Group’s short-term investments comprise primarily of cash deposits at fixed rates with original maturities of greater than three months, but less than 12 months.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The Group’s equity investments are long-term investments in unlisted companies based in the PRC over which the Group neither has significant influence nor control through investment in common stock or in-substance common stock. The Group has early adopted ASC 321, </w:t>
      </w:r>
      <w:r>
        <w:rPr>
          <w:rFonts w:ascii="Arial" w:cs="Arial" w:eastAsia="Arial" w:hAnsi="Arial"/>
          <w:sz w:val="17"/>
          <w:szCs w:val="17"/>
          <w:i w:val="1"/>
          <w:iCs w:val="1"/>
          <w:color w:val="auto"/>
        </w:rPr>
        <w:t>Investments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Securities </w:t>
      </w:r>
      <w:r>
        <w:rPr>
          <w:rFonts w:ascii="Arial" w:cs="Arial" w:eastAsia="Arial" w:hAnsi="Arial"/>
          <w:sz w:val="17"/>
          <w:szCs w:val="17"/>
          <w:color w:val="auto"/>
        </w:rPr>
        <w:t>(“ASC 321”) on January 1, 2018, pursuant to which, equity investments with readily determinable fair value, except for those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accounted for under the equity method, those that result in consolidation of the investee and certain other investments, are measured at fair value, and any changes in fair value are recognized in earnings. For equity securities without readily determinable fair value and do not qualify for the existing practical expedient in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to estimate fair value using the net asset value per share (or its equivalent) of the investment, the Group elected to use the measurement alternative to measure all its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140" w:hanging="444"/>
        <w:spacing w:after="0" w:line="385" w:lineRule="auto"/>
        <w:tabs>
          <w:tab w:leader="none" w:pos="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Equity investments (Continued)</w:t>
      </w:r>
    </w:p>
    <w:p>
      <w:pPr>
        <w:spacing w:after="0" w:line="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investments at cost, less any impairment, plus or minus changes resulting from observable price changes in orderly transactions for identical or similar investments of the same issuer, if any.</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Group makes a qualitative assessment of whether the equity investments are impaired at each reporting date. If a qualitative assessment indicates that the investment is impaired, the entity has to estimate the investment’s fair value in accordance with the principles of ASC 820. If the fair value is less than the investment’s carrying value, the entity has to recognize an impairment loss in the statements of comprehensive loss equal to the difference between the carrying value and fair value. As of December 31, 2018 and 2019, the carrying amount of the Group’s equity investments measured at fair value using the measurement alternative was RMB5,000 and RMB114,876 (US$16,501), respectively, net of accumulated impairment of RMB nil and RMB nil (US$ nil), respectively. There were also no unrealized gains (upward adjustments) or losses (downward adjustments) resulting from observable price changes in orderly transactions for an identical or similar investment of the same issuer during the periods presented. For all periods presented, no equity securities were sold.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Financial instruments of the Group primarily include cash and cash equivalents, short-term investments, accounts receivable, equity investments, accounts payable, amounts due from and due to related parties, long-term bank loan, convertible preferred shares, redeemable convertible preferred shares and warrants. For equity investments, the Group elected to use the measurement alternative to measure those investments at cost, less any impairment, plus or minus changes resulting from observable price changes in orderly transactions for identical or similar investments of the same issuer, if any. The carrying amount of the long-term bank loan approximates its fair value due to the fact that the related interest rate approximates the interest rates currently offered by financial institutions for similar debt instruments of comparable maturities. The convertible preferred shares and redeemable convertible preferred shares were initially recorded at issue price net of issuance costs. As it relates to the redeemable convertible preferred shares, the Group recognizes changes in the redemption value immediately as they occur and adjusts the carrying value of the redeemable convertible preferred shares to equal the redemption value at the end of each reporting period. The warrants are recorded at fair value as determined on the respective issuance dates and subsequently adjusted to the fair value at each reporting date. The Group determined the fair value of the warrants with the assistance of an independent third party valuation firm. The Group applies ASC 820 in measuring fair value. ASC 820 defines fair value, establishes a framework for measuring fair value and requires disclosures to be provided on fair value measurement. The carrying amounts of the remaining financial instruments, approximate their fair values because of their short-term maturities.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2—Include other inputs that are directly or indirectly observable in the marketplace.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180" w:hanging="444"/>
        <w:spacing w:after="0" w:line="385" w:lineRule="auto"/>
        <w:tabs>
          <w:tab w:leader="none" w:pos="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Fair value measurements (Continued)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ASC 820 describes three main approaches to measuring the fair value of assets and liabilities: (1) market approach; (2) income approach and</w:t>
      </w:r>
    </w:p>
    <w:p>
      <w:pPr>
        <w:spacing w:after="0" w:line="46" w:lineRule="exact"/>
        <w:rPr>
          <w:sz w:val="20"/>
          <w:szCs w:val="20"/>
          <w:color w:val="auto"/>
        </w:rPr>
      </w:pPr>
    </w:p>
    <w:p>
      <w:pPr>
        <w:ind w:left="120" w:hanging="4"/>
        <w:spacing w:after="0" w:line="290" w:lineRule="auto"/>
        <w:tabs>
          <w:tab w:leader="none" w:pos="37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On May 25, 2018, the holder of the Series D redeemable convertible preferred shares warrants (the “Warrants”) exercised all of its Warrants for 36,532,091 Series D redeemable convertible preferred shares (Note 12). As of December 31, 2018 and 2019, there were no warrants outstanding. Therefore, there are no assets or liabilities measured at fair value on a recurring basis as of December 31, 2018 and 2019.</w:t>
      </w:r>
    </w:p>
    <w:p>
      <w:pPr>
        <w:spacing w:after="0" w:line="16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presents a reconciliation of the warrant liability measured at fair value on a recurring basis using significant unobservable inputs (Level 3) for the periods presented.</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Recognized during the year</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Realized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Foreign exchange translation adjustments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Recognized during the year</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Realized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Settlement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 adjustments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00" w:type="dxa"/>
            <w:vAlign w:val="bottom"/>
            <w:gridSpan w:val="2"/>
          </w:tcPr>
          <w:p>
            <w:pPr>
              <w:spacing w:after="0"/>
              <w:rPr>
                <w:sz w:val="20"/>
                <w:szCs w:val="20"/>
                <w:color w:val="auto"/>
              </w:rPr>
            </w:pPr>
            <w:r>
              <w:rPr>
                <w:rFonts w:ascii="Arial" w:cs="Arial" w:eastAsia="Arial" w:hAnsi="Arial"/>
                <w:sz w:val="18"/>
                <w:szCs w:val="18"/>
                <w:color w:val="auto"/>
              </w:rPr>
              <w:t>Balance as of December 31, 2018</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The amount of total income for the year ended December 31, 2017 included in losses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color w:val="auto"/>
              </w:rPr>
              <w:t>The amount of total income for the year ended December 31, 2018 included in losses</w:t>
            </w: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00" w:type="dxa"/>
            <w:vAlign w:val="bottom"/>
            <w:gridSpan w:val="2"/>
            <w:vMerge w:val="continue"/>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Accounts receivable are carried at net realizable value. An allowance for doubtful accounts is recorded when collection of the full amount is no longer probable. In evaluating the collectability of receivable balances, the Group considers specific evidence including the aging of the receivable, the customer’s payment history, its current credit-worthiness and current economic trends. Accounts receivable are written off after all collection efforts have ceased.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Property and equipment are stated at cost and are depreciated using the straight-line method over the estimated useful lives of the assets,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6740" w:type="dxa"/>
            <w:vAlign w:val="bottom"/>
            <w:gridSpan w:val="2"/>
          </w:tcPr>
          <w:p>
            <w:pPr>
              <w:ind w:left="1560"/>
              <w:spacing w:after="0"/>
              <w:rPr>
                <w:sz w:val="20"/>
                <w:szCs w:val="20"/>
                <w:color w:val="auto"/>
              </w:rPr>
            </w:pPr>
            <w:r>
              <w:rPr>
                <w:rFonts w:ascii="Arial" w:cs="Arial" w:eastAsia="Arial" w:hAnsi="Arial"/>
                <w:sz w:val="14"/>
                <w:szCs w:val="14"/>
                <w:b w:val="1"/>
                <w:bCs w:val="1"/>
                <w:color w:val="auto"/>
              </w:rPr>
              <w:t>Estimated Useful Life</w:t>
            </w:r>
          </w:p>
        </w:tc>
      </w:tr>
      <w:tr>
        <w:trPr>
          <w:trHeight w:val="189"/>
        </w:trPr>
        <w:tc>
          <w:tcPr>
            <w:tcW w:w="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Electronic</w:t>
            </w:r>
          </w:p>
        </w:tc>
        <w:tc>
          <w:tcPr>
            <w:tcW w:w="3700" w:type="dxa"/>
            <w:vAlign w:val="bottom"/>
          </w:tcPr>
          <w:p>
            <w:pPr>
              <w:ind w:left="200"/>
              <w:spacing w:after="0" w:line="189" w:lineRule="exact"/>
              <w:rPr>
                <w:sz w:val="20"/>
                <w:szCs w:val="20"/>
                <w:color w:val="auto"/>
              </w:rPr>
            </w:pPr>
            <w:r>
              <w:rPr>
                <w:rFonts w:ascii="Arial" w:cs="Arial" w:eastAsia="Arial" w:hAnsi="Arial"/>
                <w:sz w:val="18"/>
                <w:szCs w:val="18"/>
                <w:color w:val="auto"/>
              </w:rPr>
              <w:t>equipment</w:t>
            </w:r>
          </w:p>
        </w:tc>
        <w:tc>
          <w:tcPr>
            <w:tcW w:w="156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3–4 years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Office equipment and fixtures</w:t>
            </w:r>
          </w:p>
        </w:tc>
        <w:tc>
          <w:tcPr>
            <w:tcW w:w="6740" w:type="dxa"/>
            <w:vAlign w:val="bottom"/>
            <w:gridSpan w:val="2"/>
          </w:tcPr>
          <w:p>
            <w:pPr>
              <w:ind w:left="1560"/>
              <w:spacing w:after="0"/>
              <w:rPr>
                <w:sz w:val="20"/>
                <w:szCs w:val="20"/>
                <w:color w:val="auto"/>
              </w:rPr>
            </w:pPr>
            <w:r>
              <w:rPr>
                <w:rFonts w:ascii="Arial" w:cs="Arial" w:eastAsia="Arial" w:hAnsi="Arial"/>
                <w:sz w:val="18"/>
                <w:szCs w:val="18"/>
                <w:color w:val="auto"/>
              </w:rPr>
              <w:t>5 years</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Data center machinery and equipment</w:t>
            </w:r>
          </w:p>
        </w:tc>
        <w:tc>
          <w:tcPr>
            <w:tcW w:w="6740" w:type="dxa"/>
            <w:vAlign w:val="bottom"/>
            <w:gridSpan w:val="2"/>
          </w:tcPr>
          <w:p>
            <w:pPr>
              <w:ind w:left="1560"/>
              <w:spacing w:after="0"/>
              <w:rPr>
                <w:sz w:val="20"/>
                <w:szCs w:val="20"/>
                <w:color w:val="auto"/>
              </w:rPr>
            </w:pPr>
            <w:r>
              <w:rPr>
                <w:rFonts w:ascii="Arial" w:cs="Arial" w:eastAsia="Arial" w:hAnsi="Arial"/>
                <w:sz w:val="18"/>
                <w:szCs w:val="18"/>
                <w:color w:val="auto"/>
              </w:rPr>
              <w:t>10 years</w:t>
            </w:r>
          </w:p>
        </w:tc>
      </w:tr>
    </w:tbl>
    <w:p>
      <w:pPr>
        <w:spacing w:after="0" w:line="202"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Repair and maintenance costs are charged to expense as incurred, whereas the cost of renewals and betterments that extend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Intangible assets are carried at cost less accumulated amortization and any recorded impairment. Intangible assets with finite useful lives are amortized using a straight-line method of amortization that reflects the estimated pattern in which the economic benefits of the intangible asset are to be consumed. The estimated useful life for the intangible assets is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6840" w:type="dxa"/>
            <w:vAlign w:val="bottom"/>
            <w:gridSpan w:val="2"/>
          </w:tcPr>
          <w:p>
            <w:pPr>
              <w:ind w:left="1660"/>
              <w:spacing w:after="0"/>
              <w:rPr>
                <w:sz w:val="20"/>
                <w:szCs w:val="20"/>
                <w:color w:val="auto"/>
              </w:rPr>
            </w:pPr>
            <w:r>
              <w:rPr>
                <w:rFonts w:ascii="Arial" w:cs="Arial" w:eastAsia="Arial" w:hAnsi="Arial"/>
                <w:sz w:val="14"/>
                <w:szCs w:val="14"/>
                <w:b w:val="1"/>
                <w:bCs w:val="1"/>
                <w:color w:val="auto"/>
              </w:rPr>
              <w:t>Estimated Useful Life</w:t>
            </w:r>
          </w:p>
        </w:tc>
      </w:tr>
      <w:tr>
        <w:trPr>
          <w:trHeight w:val="189"/>
        </w:trPr>
        <w:tc>
          <w:tcPr>
            <w:tcW w:w="5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Domain</w:t>
            </w:r>
          </w:p>
        </w:tc>
        <w:tc>
          <w:tcPr>
            <w:tcW w:w="3600" w:type="dxa"/>
            <w:vAlign w:val="bottom"/>
          </w:tcPr>
          <w:p>
            <w:pPr>
              <w:ind w:left="40"/>
              <w:spacing w:after="0" w:line="189" w:lineRule="exact"/>
              <w:rPr>
                <w:sz w:val="20"/>
                <w:szCs w:val="20"/>
                <w:color w:val="auto"/>
              </w:rPr>
            </w:pPr>
            <w:r>
              <w:rPr>
                <w:rFonts w:ascii="Arial" w:cs="Arial" w:eastAsia="Arial" w:hAnsi="Arial"/>
                <w:sz w:val="18"/>
                <w:szCs w:val="18"/>
                <w:color w:val="auto"/>
              </w:rPr>
              <w:t>names</w:t>
            </w:r>
          </w:p>
        </w:tc>
        <w:tc>
          <w:tcPr>
            <w:tcW w:w="166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 years</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Purchased software and copyrights</w:t>
            </w:r>
          </w:p>
        </w:tc>
        <w:tc>
          <w:tcPr>
            <w:tcW w:w="6840" w:type="dxa"/>
            <w:vAlign w:val="bottom"/>
            <w:gridSpan w:val="2"/>
          </w:tcPr>
          <w:p>
            <w:pPr>
              <w:ind w:left="1660"/>
              <w:spacing w:after="0"/>
              <w:rPr>
                <w:sz w:val="20"/>
                <w:szCs w:val="20"/>
                <w:color w:val="auto"/>
              </w:rPr>
            </w:pPr>
            <w:r>
              <w:rPr>
                <w:rFonts w:ascii="Arial" w:cs="Arial" w:eastAsia="Arial" w:hAnsi="Arial"/>
                <w:sz w:val="18"/>
                <w:szCs w:val="18"/>
                <w:color w:val="auto"/>
              </w:rPr>
              <w:t>3–10 years</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6840" w:type="dxa"/>
            <w:vAlign w:val="bottom"/>
            <w:gridSpan w:val="2"/>
          </w:tcPr>
          <w:p>
            <w:pPr>
              <w:ind w:left="1660"/>
              <w:spacing w:after="0"/>
              <w:rPr>
                <w:sz w:val="20"/>
                <w:szCs w:val="20"/>
                <w:color w:val="auto"/>
              </w:rPr>
            </w:pPr>
            <w:r>
              <w:rPr>
                <w:rFonts w:ascii="Arial" w:cs="Arial" w:eastAsia="Arial" w:hAnsi="Arial"/>
                <w:sz w:val="18"/>
                <w:szCs w:val="18"/>
                <w:color w:val="auto"/>
              </w:rPr>
              <w:t>3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Group evaluates its long-lived assets for impairment whenever events or changes in circumstances, such as a significant adverse change to market conditions that will impact the future use of the assets, indicate that the carrying amount of an asset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 Fair value is generally determined by discounting the cash flows expected to be generated by the assets, when the market prices are not readily available. For all periods presented, there was no impairment of any of the Group’s long-lived assets.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In accordance with ASC 280-10, </w:t>
      </w:r>
      <w:r>
        <w:rPr>
          <w:rFonts w:ascii="Arial" w:cs="Arial" w:eastAsia="Arial" w:hAnsi="Arial"/>
          <w:sz w:val="18"/>
          <w:szCs w:val="18"/>
          <w:i w:val="1"/>
          <w:iCs w:val="1"/>
          <w:color w:val="auto"/>
        </w:rPr>
        <w:t>Segment Reporting: Overall</w:t>
      </w:r>
      <w:r>
        <w:rPr>
          <w:rFonts w:ascii="Arial" w:cs="Arial" w:eastAsia="Arial" w:hAnsi="Arial"/>
          <w:sz w:val="18"/>
          <w:szCs w:val="18"/>
          <w:color w:val="auto"/>
        </w:rPr>
        <w:t xml:space="preserve"> (“ASC 280”), the Group’s chief operating decision maker (“CODM”) has been identified as the Chief Executive Officer who reviews the consolidated results of operations when making decisions about allocating resources and assessing performance of the Group as a whole and hence, the Group has only one operating segment. The Group does not distinguish between markets or segments for purposes of internal reporting. A majority of the Group’s revenues for the years ended December 31, 2017, 2018 and 2019 were generated from the PRC. As of December 31, 2018 and 2019, a majority of the long-lived assets of the Group are located in the PRC, and therefore, no geographical segments are presented.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 xml:space="preserve">In May 2014, the FASB issued Accounting Standard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replaces numerous requirements in U.S. GAAP, including industry-specific requirements, and provides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In July 2015, the FASB approved the deferral of the new standard’s effective date by one year. The new standard is effective for annual reporting periods beginning after December 15, 2017. The FASB permits companies to adopt the new standard early, but not before the original effective date of annual reporting periods beginning after December 15, 2016.</w:t>
      </w:r>
    </w:p>
    <w:p>
      <w:pPr>
        <w:spacing w:after="0" w:line="168"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Effective January 1, 2017, the Group elected to adopt the requirements of ASC 606 using the full retrospective method. The Group applies the five-step model outlined in ASC 606. The Group accounts for a contract when it has approval and commitment from the customer, the rights of the parties are identified, payment terms are identified, the contract has commercial substance and collectability of consideration is probable.</w:t>
      </w:r>
    </w:p>
    <w:p>
      <w:pPr>
        <w:spacing w:after="0" w:line="14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Revenue is allocated to each performance obligation based on its standalone selling price. The Group generally determines standalone selling prices based on observable prices. If the standalone selling price is not observable through past transactions, the Group estimates the standalone selling price based on multiple factors, including, but not limited to, historical discounting trends for services, gross margin objectives, internal costs, and industry technology lifecycles. Timing of revenue recognition may differ from the timing of invoicing to customers. For certain revenue contracts, customers are required to pay before the services are delivered to the customer. The Group recognizes a contract asset or a contract liability in the consolidated balance sheets, depending on the relationship between the entity’s performance and the customer’s payment. Contract liabilities represents the excess of payments received as compared to the consideration earned and is reflected in “accrued expenses and other current liabilities” in the Group’s consolidated balance sheets. Contract assets primarily relate to the Group’s rights to consideration for work completed in relation to its services performed but not billed at the reporting date, and is reflected in “prepayments and other assets” in the Group’s consolidated balance sheets.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60"/>
          </w:cols>
          <w:pgMar w:left="320" w:top="459" w:right="5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040" w:hanging="444"/>
        <w:spacing w:after="0" w:line="385" w:lineRule="auto"/>
        <w:tabs>
          <w:tab w:leader="none" w:pos="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Revenue recognition (Continued)</w:t>
      </w:r>
    </w:p>
    <w:p>
      <w:pPr>
        <w:spacing w:after="0" w:line="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contract assets are transferred to the receivables when the rights become unconditional. Using the practical expedient in ASC 606, the Group does not adjust the promised amount of consideration for the effects of a significant financing component if it expects, at contract inception, that the period between the transfer of the promised good or service to the customer and when the customer pays for that good or service will be one year or less. Pursuant to ASC 606-10-32-2A, the Group also elected to exclude sales taxes and other similar taxes from the measurement of the transaction price.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Therefore, revenues are recognized net of value added taxes (“VAT”) and surcharges.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cloud services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Group provides integrated cloud-based services including cloud computing, storage and delivery. The nature of the Group’s performance obligation is a single performance obligation to stand ready to provide an unspecified quantify of integrated cloud-based services each day throughout the contract period. The Group uses monthly utilization records, an output measure, to recognize revenue over time as it most faithfully depicts the simultaneous consumption and delivery of services. At the end of each month, the transaction consideration is fixed based on utilization records and no variable consideration exists.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Enterprise cloud services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Group provides comprehensive customized cloud-based solutions, which are typically completed within one to three months (“Solutions”). The components within the Solutions are not distinct within the context of the contract because they are considered highly interdependent and the customer can only benefit from these components in conjunction with one another as a two-way dependency exists. The Group also provides post-delivery maintenance and upgrade services that are mainly technical support services performed by the Group’s technical support team. Therefore, the arrangement has three performance obligations, the Solutions, maintenance and upgrades. Revenue allocated to the Solutions and upgrades, is recognized at a point in time only upon customer acceptance of the Solutions and upon delivery of the specified upgrade, respectively. Revenue allocated to maintenance is recognized over time because the customer simultaneously receives and consumes the benefits as the Group performs throughout a fixed term. Revenue allocated to maintenance was immaterial for the years ended December 31, 2017 and 2018, respectively, and amounted to RMB317 (US$46) for the year ended December 31, 2019. Revenue allocated to upgrades during the periods presented were immaterial.</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Group acts an agent to arrange for advertising services to be provided by popular external applications, primarily Xiaomi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Corporation (“promotion services”). The Group recognizes revenue on a net basis because the Group is not responsible for fulfilling the promise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 the specified advertising service, neither does it control the advertising resources nor have inventory risk. The net fee revenue from promotion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services is recognized at a point in time when the advertisements are delivered by the external application. The Group discontinued providing all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promotion services in early 2019.</w:t>
      </w:r>
    </w:p>
    <w:p>
      <w:pPr>
        <w:spacing w:after="0" w:line="21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2019, others mainly includes services ancillary to the Group’s other revenue streams such as AIoT solutions. The components within the solutions are not distinct within the context of the contract because they are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00"/>
          </w:cols>
          <w:pgMar w:left="320" w:top="459" w:right="5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140" w:hanging="444"/>
        <w:spacing w:after="0" w:line="377" w:lineRule="auto"/>
        <w:tabs>
          <w:tab w:leader="none" w:pos="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Revenue recognition (Continued)</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Others (Continued)</w:t>
      </w:r>
    </w:p>
    <w:p>
      <w:pPr>
        <w:spacing w:after="0" w:line="13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considered highly interdependent and the customer can only benefit from these components in conjunction with one another as a two-way dependency exists. Revenue from solutions is recognized at the point in time upon customer acceptance.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Cost of revenues primarily includes bandwidth and internet data center costs, depreciation expense of electronic equipment, data center machinery and equipment, salaries and benefits for employees directly involved in revenue generation activities, and other expenses directly attributable to the provision of services.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Research and development expenses primarily consist of salaries and benefits for research and development personnel, and third party service provider costs. The Group expenses research and development costs as they are incurred.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Advertising costs are expensed when incurred and are included in sales and marketing expenses in the consolidated statements of comprehensive loss. For the years ended December 31, 2017, 2018 and 2019, the advertising expenses were approximately RMB11,903, RMB23,030 and RMB29,271 (US$4,205),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Government grants primarily consist of financial grants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Government grants of non-operating nature and with no further conditions to be met are recorded as non-operating income in “Other income, net” when received. The remaining government grants are related to acquisition of assets. The grants are recorded as “deferred government grants” included in the accrued expenses and other current liabilities line item in the consolidated balance sheets when received. Once the Group fulfills the conditions stipulated under the grant, the grant amount is deducted from the carrying amount of the asset with a corresponding reduction in the deferred government grant balance.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Leases are classified at the inception date as either a capital lease or an operating lease. A lease is a capital lease if any of the following conditions exists: a) ownership is transferred to the lessee by the end of the lease term, b) there is a bargain purchase option, c) the lease term is at least 75% of the property’s estimated remaining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160" w:hanging="444"/>
        <w:spacing w:after="0" w:line="385" w:lineRule="auto"/>
        <w:tabs>
          <w:tab w:leader="none" w:pos="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Leases (Continued)</w:t>
      </w:r>
    </w:p>
    <w:p>
      <w:pPr>
        <w:spacing w:after="0" w:line="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economic life or d) the present value of the minimum lease payments at the beginning of the lease term is 90% or more of the fair value of the leased property to the lessor at the inception date. A capital lease is accounted for as if there was an acquisition of an asset and an incurrence of an obligation at the inception of the lease.</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straight-line basis over their respective lease term. The Group leases certain office under non-cancelable operating leases. Certain lease agreements contain rent holidays. Rent holidays are considered in determining the straight-line rent expense to be recorded over the lease term.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Comprehensive loss is defined as the changes in equity of the Group during a period from transactions and other events and circumstances excluding transactions resulting from investments by shareholders and distributions to shareholders. Among other disclosures, ASC 220, </w:t>
      </w:r>
      <w:r>
        <w:rPr>
          <w:rFonts w:ascii="Arial" w:cs="Arial" w:eastAsia="Arial" w:hAnsi="Arial"/>
          <w:sz w:val="16"/>
          <w:szCs w:val="16"/>
          <w:i w:val="1"/>
          <w:iCs w:val="1"/>
          <w:color w:val="auto"/>
        </w:rPr>
        <w:t>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requires that all items that are required to be recognized under current accounting standards as components of comprehensive loss be reported in</w:t>
      </w:r>
      <w:r>
        <w:rPr>
          <w:rFonts w:ascii="Arial" w:cs="Arial" w:eastAsia="Arial" w:hAnsi="Arial"/>
          <w:sz w:val="16"/>
          <w:szCs w:val="16"/>
          <w:i w:val="1"/>
          <w:iCs w:val="1"/>
          <w:color w:val="auto"/>
        </w:rPr>
        <w:t xml:space="preserve"> </w:t>
      </w:r>
      <w:r>
        <w:rPr>
          <w:rFonts w:ascii="Arial" w:cs="Arial" w:eastAsia="Arial" w:hAnsi="Arial"/>
          <w:sz w:val="16"/>
          <w:szCs w:val="16"/>
          <w:color w:val="auto"/>
        </w:rPr>
        <w:t>a financial statement that is displayed with the same prominence as other financial statements. For each of the periods presented, the Group’s comprehensive loss includes net loss and foreign currency translation adjustments and is presented in the consolidated statements of comprehensive loss.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The Group follows the liability method of accounting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Group accounted for uncertainties in income taxes in accordance with ASC 740. Interest and penalties arising from underpayment of income taxes shall be computed in accordance with the related PRC tax law.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statements of comprehensive loss as income tax expense.</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accordance with the provisions of ASC 740, the Group recognizes in its consolidated financial statements the impact of a tax position if a tax return position or future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The Group’s estimated liability for unrecognized tax benefits, if any, will be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160" w:hanging="444"/>
        <w:spacing w:after="0" w:line="385" w:lineRule="auto"/>
        <w:tabs>
          <w:tab w:leader="none" w:pos="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Income taxes (Continued)</w:t>
      </w:r>
    </w:p>
    <w:p>
      <w:pPr>
        <w:spacing w:after="0" w:line="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recorded in the “other non-current liabilities” in the accompanying consolidated financial statements is periodically assessed for adequacy and may be affected by changing interpretations of laws, rulings by tax authorities, changes and/or developments with respect to tax audits, and expiration of the statute of limitations. The actual benefits ultimately realized may differ from the Group’s estimates. As each audit is concluded, adjustments, if any, are recorded in the Group’s consolidated financial statements.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 granted to employees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Group applies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to account for its employee share-based payments. In accordance with ASC 718, the Group determines whether an award should be classified and accounted for as a liability award or equity award. All the Group’s share-based awards to employees were classified as equity awards and are recognized in the consolidated financial statements based on their grant date fair values.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The Group uses the accelerated method for all awards granted with graded vesting based on service conditions. The Group has early adopted ASU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18)</w:t>
      </w:r>
      <w:r>
        <w:rPr>
          <w:rFonts w:ascii="Arial" w:cs="Arial" w:eastAsia="Arial" w:hAnsi="Arial"/>
          <w:sz w:val="16"/>
          <w:szCs w:val="16"/>
          <w:i w:val="1"/>
          <w:iCs w:val="1"/>
          <w:color w:val="auto"/>
        </w:rPr>
        <w:t>, Improvements to Employee Share-Based Payment Accounting</w:t>
      </w:r>
      <w:r>
        <w:rPr>
          <w:rFonts w:ascii="Arial" w:cs="Arial" w:eastAsia="Arial" w:hAnsi="Arial"/>
          <w:sz w:val="16"/>
          <w:szCs w:val="16"/>
          <w:color w:val="auto"/>
        </w:rPr>
        <w:t xml:space="preserve"> and elected to account for forfeitures as they occur. The Group, with the assistance of an independent third party valuation firm determined the fair value of the share-based awards granted to employees. The binomial option pricing model was applied in determining the estimated fair value of the options granted to employees.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loss per share is computed by dividing net loss attributable to ordinary shareholders by the weighted average number of ordinary shares outstanding during the year using the two-class method. Under the two-class method, net loss is allocated between ordinary shares and other participating securities based on their participating rights. The Company’s Series A and Series B convertible preferred shares, and Series C, Series D and Series D+ redeemable convertible preferred shares are participating securities. 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For the periods presented herein, the computation of basic loss per share using the two-class method is not applicable as the Company is in a net loss position and the participating securities do not have contractual rights and obligations to share in the losses of the Company.</w:t>
      </w:r>
    </w:p>
    <w:p>
      <w:pPr>
        <w:spacing w:after="0" w:line="178"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Diluted loss per share is calculated by dividing net loss attributable to ordinary shareholders as adjusted for the effect of dilutive ordinary equivalent shares, if any, by the weighted average number of ordinary and dilutive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5100" w:hanging="444"/>
        <w:spacing w:after="0" w:line="385" w:lineRule="auto"/>
        <w:tabs>
          <w:tab w:leader="none" w:pos="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Loss per share (Continued)</w:t>
      </w:r>
    </w:p>
    <w:p>
      <w:pPr>
        <w:spacing w:after="0" w:line="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ordinary equivalent shares outstanding during the period. Ordinary equivalent shares consist of the ordinary shares issuable upon the conversion of the Company’s convertible preferred shares and redeemable convertible preferred shares, and warrants using the if-converted method; and ordinary shares issuable upon the exercise of share options and vesting of awarded shares, using the treasury stock method. Ordinary share equivalents are excluded from the computation of diluted per share if their effects would be anti-dilutive.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benefit expenses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All eligible employees of the Group are entitled to staff welfare benefits including medical care, welfare grants, unemployment insurance and pension benefits through a PRC government-mandated multi-employer defined contribution plan. The Group is required to accrue for these benefits based on certain percentages of the qualified employees’ salaries. The Group is required to make contributions to the plans out of the amounts accrued. The PRC government is responsible for the medical benefits and the pension liability to be paid to these employees and the Group’s obligations are limited to the amounts contributed. The Group has no further payment obligations once the contributions have been paid.</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Group recorded employee benefit expenses of RMB528,066, RMB614,418 and RMB926,532 (US$133,088) for the years ended December 31, 2017, 2018 and 2019,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Direct costs incurred by the Company attributable to its proposed initial public offering (“IPO”) of ordinary shares in the U.S. have been deferred and recorded in prepayments and other assets and will be charged against the gross proceeds received from such offering.</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shareholders’ equity and loss per share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the Company’s memorandum and articles of association, upon the completion of an IPO, the outstanding convertible preferred shares and redeemable convertible preferred shares, including the 22,035,999 Series D+ redeemable convertible preferred shares that were issued in January 2020 (collectively, the “Preferred Shares”) (Note 13) will automatically be converted into 1,717,249,571 ordinary shares. In February 2020, the Company repurchased 5,475,254 ordinary shares that were already issued to the executives for a cashless settlement of the outstanding loan amount due to the Company (Notes 17, 21). In addition, the Company will recognize a one-time share-based compensation expense for share-based awards subject to accelerated vesting upon the completion of an IPO. Unaudited pro forma shareholders’ equity as of December 31, 2019, as adjusted for the assumed conversion of the Preferred Shares and (i) the corresponding reclassification of the Series A convertible preferred shares to ordinary shares; (ii) corresponding reclassification of the Series B convertible preferred shares, and Series C, Series D and Series D+ redeemable convertible preferred shares classified in mezzanine equity to shareholders’ equity; (iii) the repurchase of ordinary shares reflected as an adjustment to ordinary shares and additional paid-in capital; and (iv) one-time share based compensation expense reflected as an adjustment to additional paid-in capital and accumulated deficit (Note 21), is set forth on the consolidated balance sheet.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60"/>
          </w:cols>
          <w:pgMar w:left="320" w:top="459" w:right="5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jc w:val="right"/>
        <w:ind w:left="560" w:right="5080" w:hanging="444"/>
        <w:spacing w:after="0" w:line="463" w:lineRule="auto"/>
        <w:tabs>
          <w:tab w:leader="none" w:pos="300"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b w:val="1"/>
          <w:bCs w:val="1"/>
          <w:i w:val="1"/>
          <w:iCs w:val="1"/>
          <w:color w:val="auto"/>
        </w:rPr>
        <w:t>Unaudited pro forma shareholders’ equity and loss per share (Continued)</w:t>
      </w:r>
    </w:p>
    <w:p>
      <w:pPr>
        <w:ind w:left="120" w:right="60" w:firstLine="440"/>
        <w:spacing w:after="0" w:line="263" w:lineRule="auto"/>
        <w:rPr>
          <w:sz w:val="20"/>
          <w:szCs w:val="20"/>
          <w:color w:val="auto"/>
        </w:rPr>
      </w:pPr>
      <w:r>
        <w:rPr>
          <w:rFonts w:ascii="Arial" w:cs="Arial" w:eastAsia="Arial" w:hAnsi="Arial"/>
          <w:sz w:val="18"/>
          <w:szCs w:val="18"/>
          <w:color w:val="auto"/>
        </w:rPr>
        <w:t>The unaudited pro forma net loss per ordinary share is computed using the weighted-average number of ordinary shares outstanding as of December 31, 2019, and the assumed conversion of all of the Company’s Preferred Shares into ordinary shares upon the closing of the Company’s IPO, as if it had occurred on January 1,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Company elected to take advantage of the extended transition periods. However, this election will not apply should the Company cease to be classified as an EGC.</w:t>
      </w:r>
    </w:p>
    <w:p>
      <w:pPr>
        <w:spacing w:after="0" w:line="171"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ASU 2016-02 modifies existing guidance for off-balance sheet treatment of a lessees’ operating leases by requiring lessees to recognize lease assets and lease liabilities. Under ASU 2016-02, lessor accounting is largely unchanged. ASU 2016-02 is effective for fiscal years beginning after December 15, 2019, and interim periods within fiscal years beginning after December 15, 2020. Early adoption is permitted. The Group will adopt ASU 2016-02 on January 1, 2020 using the modified retrospective method and will not restate comparable periods. The Group will elect the package of practical expedients permitted under the transition guidance, which allow the Group to carry forward the historical lease classification, the assessment whether a contract is or contains a lease and initial direct costs for any leases that exist prior to adoption of the new standard. The Group will also elect the practical expedient not to separate lease and non-lease components for certain classes of underlying assets and the short-term lease exemption for contracts with lease terms of 12 months or less. The Group currently believes the most significant change will be related to the recognition of right-of-use assets and operating lease liabilities on the consolidated balance sheets upon adoption, which will increase total assets and liabilities. The Group does not expect any material impact on net assets and the consolidated statements of comprehensive loss as a result of adopting the new standard.</w:t>
      </w:r>
    </w:p>
    <w:p>
      <w:pPr>
        <w:spacing w:after="0" w:line="17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ASU 2016-13 changes the impairment model for most financial assets and certain other instruments. The standard will</w:t>
      </w:r>
      <w:r>
        <w:rPr>
          <w:rFonts w:ascii="Arial" w:cs="Arial" w:eastAsia="Arial" w:hAnsi="Arial"/>
          <w:sz w:val="18"/>
          <w:szCs w:val="18"/>
          <w:i w:val="1"/>
          <w:iCs w:val="1"/>
          <w:color w:val="auto"/>
        </w:rPr>
        <w:t xml:space="preserve"> </w:t>
      </w:r>
      <w:r>
        <w:rPr>
          <w:rFonts w:ascii="Arial" w:cs="Arial" w:eastAsia="Arial" w:hAnsi="Arial"/>
          <w:sz w:val="18"/>
          <w:szCs w:val="18"/>
          <w:color w:val="auto"/>
        </w:rPr>
        <w:t>replace the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The amendments in ASU 2016-13 are effective for fiscal years beginning after December 15, 2020, including interim periods within fiscal years beginning after December 15, 2021. The Group is in the process of evaluating the impact of adoption of this guidance on its consolidated financial statements.</w:t>
      </w:r>
    </w:p>
    <w:p>
      <w:pPr>
        <w:spacing w:after="0" w:line="19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update eliminates,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5160" w:hanging="444"/>
        <w:spacing w:after="0" w:line="385" w:lineRule="auto"/>
        <w:tabs>
          <w:tab w:leader="none" w:pos="3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Recent accounting pronouncements (Continued)</w:t>
      </w:r>
    </w:p>
    <w:p>
      <w:pPr>
        <w:spacing w:after="0" w:line="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modifies, and adds certain disclosure requirements for fair value measurements. This update is effective in fiscal years, including interim periods, beginning after December 15, 2019, and early adoption is permitted. The added disclosure requirements and the modified disclosure on the narrative description of measurement uncertainty should be applied prospectively for only the most recent interim or annual period presented. All other changes to disclosure requirements in this update should be applied retrospectively to all periods presented upon their effective date. The Group does not believe this standard will have a material impact on the consolidated financial statements.</w:t>
      </w:r>
    </w:p>
    <w:p>
      <w:pPr>
        <w:spacing w:after="0" w:line="17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update requires a customer in a</w:t>
      </w:r>
      <w:r>
        <w:rPr>
          <w:rFonts w:ascii="Arial" w:cs="Arial" w:eastAsia="Arial" w:hAnsi="Arial"/>
          <w:sz w:val="16"/>
          <w:szCs w:val="16"/>
          <w:i w:val="1"/>
          <w:iCs w:val="1"/>
          <w:color w:val="auto"/>
        </w:rPr>
        <w:t xml:space="preserve"> </w:t>
      </w:r>
      <w:r>
        <w:rPr>
          <w:rFonts w:ascii="Arial" w:cs="Arial" w:eastAsia="Arial" w:hAnsi="Arial"/>
          <w:sz w:val="16"/>
          <w:szCs w:val="16"/>
          <w:color w:val="auto"/>
        </w:rPr>
        <w:t>cloud computing arrangement that is a service contract to follow the internal-use software guidance in ASC 350-40 to determine which implementation costs to defer and recognize as an asset. This update is effective for fiscal years beginning after December 15, 2020, and interim periods within fiscal years beginning after December 15, 2021. Early adoption is permitted, including adoption in any interim period. The Group will adopt ASU 2018-15 on January 1, 2021. This guidance should be applied either retrospectively or prospectively to all implementation costs incurred after the date of adoption. The Group is currently evaluating the impact on its consolidated financial statements of adopting this guidance.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CONCENTRATION OF RISKS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Assets that potentially subject the Group to significant concentration of credit risk primarily consist of cash and cash equivalents, short-term investments and accounts receivable. The Group expects that there is no significant credit risk associated with cash and cash equivalents and short-term investments, which were held by reputable financial institutions in the jurisdictions where the Company, its subsidiaries, and the VIEs are located. The Group believes that it is not exposed to unusual risks as these financial institutions have high credit quality.</w:t>
      </w:r>
    </w:p>
    <w:p>
      <w:pPr>
        <w:spacing w:after="0" w:line="17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Accounts receivable are typically unsecured and are derived from revenues earned from reputable customers. As of December 31, 2018 and 2019, the Company had two customers, with a receivable balance exceeding 10% of the total accounts receivable balance. The risk with respect to accounts receivable is mitigated by credit evaluations the Group performs on its customers and its ongoing monitoring process of outstanding balances.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customer, political, social and economic risks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Group participates in a dynamic and competitive high technology industry and believes that changes in any of the following areas could have a material adverse effect on the Group’s future financial position, results of operations or cash flows: changes in the overall demand for services; competitive pressures due to existing competitors; and new trends in new technologies and industry standards; control of telecommunication infrastructures by local regulators and industry standards; changes in certain strategic relationships or customer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CONCENTRATION OF RISKS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customer, political, social and economic risks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relationships; regulatory considerations; and risks associated with the Group’s ability to attract and retain employees necessary to support its growth.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operations could be adversely affected by significant political, economic and social uncertainties in the PRC.</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Three customers accounted for 27%, 19% and 10%, respectively, of total revenues during the year ended December 31, 2017, 25%, 24% and 11%, respectively, of total revenues during the year ended December 31, 2018, and 14%, 31% and 12%, respectively, of total revenues during the year ended December 31,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Currency convertibility risk</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Group transacts a majority of its business in RMB, which is not freely convertible into foreign currencies. On January 1, 1994, the PRC government abolished the dual rate system and introduced a single rate of exchange as quoted daily by the People’s Bank of China (“PBOC”). However, the unification of the exchange rates does not imply that the RMB may be readily convertible into United States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 Additionally, the value of the RMB is subject to changes in central government policies and international economic and political developments affecting supply and demand in the PRC foreign exchange trading system market.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From July 21, 2005, the RMB is permitted to fluctuate within a narrow and managed band against a basket of certain foreign currencies. For RMB against U.S. dollar, there was depreciation of approximately 5.5% and 1.3% during the year ended December 31, 2018 and 2019, respectively. It is difficult to predict how market forces or PRC or U.S. government policy may impact the exchange rate between the RMB and the U.S. dollar in the future.</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To the extent that the Group needs to convert U.S. dollar into RMB for capital expenditures and working capital and other business purposes, appreciation of RMB against U.S. dollar would have an adverse effect on the RMB amount the Group would receive from the conversion. Conversely, if the Group decides to convert RMB into U.S. dollar for the purpose of making payments for dividends on ordinary shares, strategic acquisitions or investments or other business purposes, appreciation of U.S. dollar against RMB would have a negative effect on the U.S. dollar amount available to the Group. In addition, a significant depreciation of the RMB against the U.S. dollar may significantly reduce the U.S. dollar equivalent of the Group’s earnings or losses.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20" w:right="920" w:firstLine="943"/>
        <w:spacing w:after="0" w:line="456" w:lineRule="auto"/>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 4. REVENUES</w:t>
      </w:r>
    </w:p>
    <w:p>
      <w:pPr>
        <w:ind w:left="560"/>
        <w:spacing w:after="0"/>
        <w:rPr>
          <w:sz w:val="20"/>
          <w:szCs w:val="20"/>
          <w:color w:val="auto"/>
        </w:rPr>
      </w:pPr>
      <w:r>
        <w:rPr>
          <w:rFonts w:ascii="Arial" w:cs="Arial" w:eastAsia="Arial" w:hAnsi="Arial"/>
          <w:sz w:val="18"/>
          <w:szCs w:val="18"/>
          <w:color w:val="auto"/>
        </w:rPr>
        <w:t>The following table presents the Group’s revenues from contracts with customers disaggregated by material revenue category:</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w w:val="91"/>
              </w:rPr>
              <w:t>For the year ended December 31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94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1200" w:type="dxa"/>
            <w:vAlign w:val="bottom"/>
            <w:gridSpan w:val="2"/>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9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9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8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82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Public cloud services recognized over time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2,110,513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3,458,843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496,832</w:t>
            </w:r>
          </w:p>
        </w:tc>
        <w:tc>
          <w:tcPr>
            <w:tcW w:w="8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Enterprise cloud services:</w:t>
            </w: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 recognized at a point in time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485,991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69,808</w:t>
            </w:r>
          </w:p>
        </w:tc>
        <w:tc>
          <w:tcPr>
            <w:tcW w:w="80" w:type="dxa"/>
            <w:vAlign w:val="bottom"/>
            <w:shd w:val="clear" w:color="auto" w:fill="CCEEFF"/>
          </w:tcPr>
          <w:p>
            <w:pPr>
              <w:spacing w:after="0"/>
              <w:rPr>
                <w:sz w:val="18"/>
                <w:szCs w:val="18"/>
                <w:color w:val="auto"/>
              </w:rPr>
            </w:pPr>
          </w:p>
        </w:tc>
      </w:tr>
      <w:tr>
        <w:trPr>
          <w:trHeight w:val="223"/>
        </w:trPr>
        <w:tc>
          <w:tcPr>
            <w:tcW w:w="4800" w:type="dxa"/>
            <w:vAlign w:val="bottom"/>
          </w:tcPr>
          <w:p>
            <w:pPr>
              <w:ind w:left="180"/>
              <w:spacing w:after="0"/>
              <w:rPr>
                <w:sz w:val="20"/>
                <w:szCs w:val="20"/>
                <w:color w:val="auto"/>
              </w:rPr>
            </w:pPr>
            <w:r>
              <w:rPr>
                <w:rFonts w:ascii="Arial" w:cs="Arial" w:eastAsia="Arial" w:hAnsi="Arial"/>
                <w:sz w:val="18"/>
                <w:szCs w:val="18"/>
                <w:color w:val="auto"/>
              </w:rPr>
              <w:t>Maintenance recognized over time</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r>
      <w:tr>
        <w:trPr>
          <w:trHeight w:val="216"/>
        </w:trPr>
        <w:tc>
          <w:tcPr>
            <w:tcW w:w="4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486,308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69,854</w:t>
            </w:r>
          </w:p>
        </w:tc>
        <w:tc>
          <w:tcPr>
            <w:tcW w:w="80" w:type="dxa"/>
            <w:vAlign w:val="bottom"/>
            <w:shd w:val="clear" w:color="auto" w:fill="CCEEFF"/>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Others recognized at a point in time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18,211</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13,290</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20"/>
                <w:szCs w:val="20"/>
                <w:color w:val="auto"/>
              </w:rPr>
            </w:pPr>
          </w:p>
        </w:tc>
      </w:tr>
      <w:tr>
        <w:trPr>
          <w:trHeight w:val="216"/>
        </w:trPr>
        <w:tc>
          <w:tcPr>
            <w:tcW w:w="48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1,235,967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2,218,172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3,956,353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568,295</w:t>
            </w:r>
          </w:p>
        </w:tc>
        <w:tc>
          <w:tcPr>
            <w:tcW w:w="8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transaction prices allocated to the remaining performance obligations (unsatisfied or partially unsatisfied) as at December 31, 2019 are related to enterprise cloud services, which are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RMB</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US$</w:t>
            </w: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1,025</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More than one year</w:t>
            </w:r>
          </w:p>
        </w:tc>
        <w:tc>
          <w:tcPr>
            <w:tcW w:w="480" w:type="dxa"/>
            <w:vAlign w:val="bottom"/>
          </w:tcPr>
          <w:p>
            <w:pPr>
              <w:ind w:left="60"/>
              <w:spacing w:after="0"/>
              <w:rPr>
                <w:sz w:val="20"/>
                <w:szCs w:val="20"/>
                <w:color w:val="auto"/>
              </w:rPr>
            </w:pPr>
            <w:r>
              <w:rPr>
                <w:rFonts w:ascii="Arial" w:cs="Arial" w:eastAsia="Arial" w:hAnsi="Arial"/>
                <w:sz w:val="18"/>
                <w:szCs w:val="18"/>
                <w:color w:val="auto"/>
                <w:w w:val="88"/>
              </w:rPr>
              <w:t>2,684</w:t>
            </w:r>
          </w:p>
        </w:tc>
        <w:tc>
          <w:tcPr>
            <w:tcW w:w="3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r>
      <w:tr>
        <w:trPr>
          <w:trHeight w:val="27"/>
        </w:trPr>
        <w:tc>
          <w:tcPr>
            <w:tcW w:w="7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3,709</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r>
      <w:tr>
        <w:trPr>
          <w:trHeight w:val="20"/>
        </w:trPr>
        <w:tc>
          <w:tcPr>
            <w:tcW w:w="7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Contract assets primarily relate to the Group’s rights to consideration for work completed in relation to its services performed but not billed at the reporting date. For the periods presented, there was no impairment of the Group’s contract assets. The contract assets are transferred to accounts receivable when the rights become unconditional. Contract liabilities relate to contracts where the Group received payments but has not yet satisfied the related performance obligations. The advance consideration received from customers for the services is a contract liability until services are provided to the customer. The following table provides information about contract assets and contract liabilities from contracts with customers: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at 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center"/>
              <w:ind w:left="219"/>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56"/>
        </w:trPr>
        <w:tc>
          <w:tcPr>
            <w:tcW w:w="32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3"/>
                <w:szCs w:val="13"/>
                <w:color w:val="auto"/>
              </w:rPr>
            </w:pPr>
          </w:p>
        </w:tc>
        <w:tc>
          <w:tcPr>
            <w:tcW w:w="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3"/>
                <w:szCs w:val="13"/>
                <w:color w:val="auto"/>
              </w:rPr>
            </w:pPr>
          </w:p>
        </w:tc>
        <w:tc>
          <w:tcPr>
            <w:tcW w:w="60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3"/>
                <w:szCs w:val="13"/>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(Note 6)</w:t>
            </w:r>
          </w:p>
        </w:tc>
        <w:tc>
          <w:tcPr>
            <w:tcW w:w="3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CEEFF"/>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Customer advances (Note 9)</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39,044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79,608</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11,435</w:t>
            </w:r>
          </w:p>
        </w:tc>
        <w:tc>
          <w:tcPr>
            <w:tcW w:w="80" w:type="dxa"/>
            <w:vAlign w:val="bottom"/>
          </w:tcPr>
          <w:p>
            <w:pPr>
              <w:spacing w:after="0"/>
              <w:rPr>
                <w:sz w:val="20"/>
                <w:szCs w:val="20"/>
                <w:color w:val="auto"/>
              </w:rPr>
            </w:pPr>
          </w:p>
        </w:tc>
      </w:tr>
      <w:tr>
        <w:trPr>
          <w:trHeight w:val="350"/>
        </w:trPr>
        <w:tc>
          <w:tcPr>
            <w:tcW w:w="3260" w:type="dxa"/>
            <w:vAlign w:val="bottom"/>
          </w:tcPr>
          <w:p>
            <w:pPr>
              <w:spacing w:after="0"/>
              <w:rPr>
                <w:sz w:val="24"/>
                <w:szCs w:val="24"/>
                <w:color w:val="auto"/>
              </w:rPr>
            </w:pPr>
          </w:p>
        </w:tc>
        <w:tc>
          <w:tcPr>
            <w:tcW w:w="4080" w:type="dxa"/>
            <w:vAlign w:val="bottom"/>
            <w:gridSpan w:val="2"/>
          </w:tcPr>
          <w:p>
            <w:pPr>
              <w:jc w:val="right"/>
              <w:ind w:right="2462"/>
              <w:spacing w:after="0"/>
              <w:rPr>
                <w:sz w:val="20"/>
                <w:szCs w:val="20"/>
                <w:color w:val="auto"/>
              </w:rPr>
            </w:pPr>
            <w:r>
              <w:rPr>
                <w:rFonts w:ascii="Arial" w:cs="Arial" w:eastAsia="Arial" w:hAnsi="Arial"/>
                <w:sz w:val="18"/>
                <w:szCs w:val="18"/>
                <w:color w:val="auto"/>
              </w:rPr>
              <w:t>F-32</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REVENUES (Continued)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 (Continued)</w:t>
      </w:r>
    </w:p>
    <w:p>
      <w:pPr>
        <w:spacing w:after="0" w:line="13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increase in customer advances as compared to the year ended December 31, 2018 is a result of the increase in consideration received from the Group’s customers.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16"/>
          </w:tcPr>
          <w:p>
            <w:pPr>
              <w:ind w:left="180"/>
              <w:spacing w:after="0"/>
              <w:rPr>
                <w:sz w:val="20"/>
                <w:szCs w:val="20"/>
                <w:color w:val="auto"/>
              </w:rPr>
            </w:pPr>
            <w:r>
              <w:rPr>
                <w:rFonts w:ascii="Arial" w:cs="Arial" w:eastAsia="Arial" w:hAnsi="Arial"/>
                <w:sz w:val="14"/>
                <w:szCs w:val="14"/>
                <w:b w:val="1"/>
                <w:bCs w:val="1"/>
                <w:color w:val="auto"/>
                <w:w w:val="93"/>
              </w:rPr>
              <w:t>For the year ended December 31</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right"/>
              <w:ind w:right="8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3"/>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3"/>
          </w:tcPr>
          <w:p>
            <w:pPr>
              <w:jc w:val="right"/>
              <w:ind w:right="82"/>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8"/>
              </w:rPr>
              <w:t>Revenue recognized from amounts included in contract liabilities at the beginning of the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12,487</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19,312</w:t>
            </w:r>
          </w:p>
        </w:tc>
        <w:tc>
          <w:tcPr>
            <w:tcW w:w="20" w:type="dxa"/>
            <w:vAlign w:val="bottom"/>
            <w:shd w:val="clear" w:color="auto" w:fill="CCEEFF"/>
          </w:tcPr>
          <w:p>
            <w:pPr>
              <w:spacing w:after="0"/>
              <w:rPr>
                <w:sz w:val="20"/>
                <w:szCs w:val="20"/>
                <w:color w:val="auto"/>
              </w:rPr>
            </w:pPr>
          </w:p>
        </w:tc>
        <w:tc>
          <w:tcPr>
            <w:tcW w:w="800" w:type="dxa"/>
            <w:vAlign w:val="bottom"/>
            <w:gridSpan w:val="6"/>
            <w:shd w:val="clear" w:color="auto" w:fill="CCEEFF"/>
          </w:tcPr>
          <w:p>
            <w:pPr>
              <w:jc w:val="center"/>
              <w:ind w:left="97"/>
              <w:spacing w:after="0"/>
              <w:rPr>
                <w:sz w:val="20"/>
                <w:szCs w:val="20"/>
                <w:color w:val="auto"/>
              </w:rPr>
            </w:pPr>
            <w:r>
              <w:rPr>
                <w:rFonts w:ascii="Arial" w:cs="Arial" w:eastAsia="Arial" w:hAnsi="Arial"/>
                <w:sz w:val="18"/>
                <w:szCs w:val="18"/>
                <w:color w:val="auto"/>
                <w:w w:val="90"/>
              </w:rPr>
              <w:t>22,782</w:t>
            </w:r>
          </w:p>
        </w:tc>
        <w:tc>
          <w:tcPr>
            <w:tcW w:w="2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ACCOUNTS RECEIVABLE, NET</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As at December 31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8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16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62"/>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543,833</w:t>
            </w:r>
          </w:p>
        </w:tc>
        <w:tc>
          <w:tcPr>
            <w:tcW w:w="114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1,370,375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9"/>
              </w:rPr>
              <w:t>196,843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(2,249)</w:t>
            </w:r>
          </w:p>
        </w:tc>
        <w:tc>
          <w:tcPr>
            <w:tcW w:w="1500" w:type="dxa"/>
            <w:vAlign w:val="bottom"/>
            <w:gridSpan w:val="9"/>
          </w:tcPr>
          <w:p>
            <w:pPr>
              <w:jc w:val="right"/>
              <w:ind w:right="242"/>
              <w:spacing w:after="0"/>
              <w:rPr>
                <w:sz w:val="20"/>
                <w:szCs w:val="20"/>
                <w:color w:val="auto"/>
              </w:rPr>
            </w:pPr>
            <w:r>
              <w:rPr>
                <w:rFonts w:ascii="Arial" w:cs="Arial" w:eastAsia="Arial" w:hAnsi="Arial"/>
                <w:sz w:val="18"/>
                <w:szCs w:val="18"/>
                <w:color w:val="auto"/>
              </w:rPr>
              <w:t>(22,894)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(3,289)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541,584</w:t>
            </w:r>
          </w:p>
        </w:tc>
        <w:tc>
          <w:tcPr>
            <w:tcW w:w="114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1,347,481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9"/>
              </w:rPr>
              <w:t>193,554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ind w:left="440"/>
              <w:spacing w:after="0"/>
              <w:rPr>
                <w:sz w:val="20"/>
                <w:szCs w:val="20"/>
                <w:color w:val="auto"/>
              </w:rPr>
            </w:pPr>
            <w:r>
              <w:rPr>
                <w:rFonts w:ascii="Arial" w:cs="Arial" w:eastAsia="Arial" w:hAnsi="Arial"/>
                <w:sz w:val="18"/>
                <w:szCs w:val="18"/>
                <w:color w:val="auto"/>
              </w:rPr>
              <w:t>The movements in the allowance for doubtful accounts were as follows: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As at December 31</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4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720" w:type="dxa"/>
            <w:vAlign w:val="bottom"/>
            <w:gridSpan w:val="4"/>
          </w:tcPr>
          <w:p>
            <w:pPr>
              <w:jc w:val="center"/>
              <w:ind w:left="217"/>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1,789</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2,183</w:t>
            </w:r>
          </w:p>
        </w:tc>
        <w:tc>
          <w:tcPr>
            <w:tcW w:w="100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2,249</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20,645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2,183</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2,249</w:t>
            </w:r>
          </w:p>
        </w:tc>
        <w:tc>
          <w:tcPr>
            <w:tcW w:w="100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22,894</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60" w:type="dxa"/>
            <w:vAlign w:val="bottom"/>
            <w:vMerge w:val="restart"/>
          </w:tcPr>
          <w:p>
            <w:pPr>
              <w:ind w:left="4020"/>
              <w:spacing w:after="0"/>
              <w:rPr>
                <w:sz w:val="20"/>
                <w:szCs w:val="20"/>
                <w:color w:val="auto"/>
              </w:rPr>
            </w:pPr>
            <w:r>
              <w:rPr>
                <w:rFonts w:ascii="Arial" w:cs="Arial" w:eastAsia="Arial" w:hAnsi="Arial"/>
                <w:sz w:val="18"/>
                <w:szCs w:val="18"/>
                <w:color w:val="auto"/>
              </w:rPr>
              <w:t>F-33</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PREPAYMENTS AND OTHER ASSETS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2"/>
              </w:rPr>
              <w:t>As at December 31</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040" w:type="dxa"/>
            <w:vAlign w:val="bottom"/>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Prepayments to suppliers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2,749</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15,903</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(Note 4)</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VAT prepayments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223,814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360,401</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51,768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43,042</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IPO costs</w:t>
            </w:r>
          </w:p>
        </w:tc>
        <w:tc>
          <w:tcPr>
            <w:tcW w:w="44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11,971</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281,090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421,938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Prepayments for electronic equipment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63,280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33,970</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64,152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36,468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As at December 31</w:t>
            </w: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60" w:type="dxa"/>
            <w:vAlign w:val="bottom"/>
            <w:gridSpan w:val="2"/>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040" w:type="dxa"/>
            <w:vAlign w:val="bottom"/>
            <w:gridSpan w:val="3"/>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Electronic equipment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2,088,881</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3,233,327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464,439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Office equipment and fixtures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Data center machinery and equipment</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131,037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2,091,416</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3,366,657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483,590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gridSpan w:val="3"/>
          </w:tcPr>
          <w:p>
            <w:pPr>
              <w:jc w:val="right"/>
              <w:ind w:right="108"/>
              <w:spacing w:after="0"/>
              <w:rPr>
                <w:sz w:val="20"/>
                <w:szCs w:val="20"/>
                <w:color w:val="auto"/>
              </w:rPr>
            </w:pPr>
            <w:r>
              <w:rPr>
                <w:rFonts w:ascii="Arial" w:cs="Arial" w:eastAsia="Arial" w:hAnsi="Arial"/>
                <w:sz w:val="18"/>
                <w:szCs w:val="18"/>
                <w:color w:val="auto"/>
              </w:rPr>
              <w:t>(1,048,261)</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(1,645,683)</w:t>
            </w: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(236,388)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1,043,155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1,720,974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247,202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Depreciation expense for the years ended December 31, 2017, 2018 and 2019 was RMB292,539, RMB409,415 and RMB601,730 (US$86,433), respectively.</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40"/>
          </w:cols>
          <w:pgMar w:left="320" w:top="459" w:right="6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INTANGIBLE ASSETS, NET</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at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left="174"/>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5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5760" w:type="dxa"/>
            <w:vAlign w:val="bottom"/>
          </w:tcPr>
          <w:p>
            <w:pPr>
              <w:spacing w:after="0"/>
              <w:rPr>
                <w:sz w:val="12"/>
                <w:szCs w:val="12"/>
                <w:color w:val="auto"/>
              </w:rPr>
            </w:pPr>
          </w:p>
        </w:tc>
        <w:tc>
          <w:tcPr>
            <w:tcW w:w="58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Pr>
          <w:p>
            <w:pPr>
              <w:spacing w:after="0"/>
              <w:rPr>
                <w:sz w:val="12"/>
                <w:szCs w:val="12"/>
                <w:color w:val="auto"/>
              </w:rPr>
            </w:pPr>
          </w:p>
        </w:tc>
        <w:tc>
          <w:tcPr>
            <w:tcW w:w="5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7,023</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7,041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Purchased software and copyrights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6,487</w:t>
            </w:r>
          </w:p>
        </w:tc>
        <w:tc>
          <w:tcPr>
            <w:tcW w:w="6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6,564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4,559</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4,598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r>
      <w:tr>
        <w:trPr>
          <w:trHeight w:val="223"/>
        </w:trPr>
        <w:tc>
          <w:tcPr>
            <w:tcW w:w="57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18,203</w:t>
            </w:r>
          </w:p>
        </w:tc>
        <w:tc>
          <w:tcPr>
            <w:tcW w:w="360" w:type="dxa"/>
            <w:vAlign w:val="bottom"/>
          </w:tcPr>
          <w:p>
            <w:pPr>
              <w:spacing w:after="0"/>
              <w:rPr>
                <w:sz w:val="19"/>
                <w:szCs w:val="19"/>
                <w:color w:val="auto"/>
              </w:rPr>
            </w:pP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4"/>
              </w:rPr>
              <w:t>2,614</w:t>
            </w:r>
          </w:p>
        </w:tc>
        <w:tc>
          <w:tcPr>
            <w:tcW w:w="120" w:type="dxa"/>
            <w:vAlign w:val="bottom"/>
          </w:tcPr>
          <w:p>
            <w:pPr>
              <w:spacing w:after="0"/>
              <w:rPr>
                <w:sz w:val="19"/>
                <w:szCs w:val="19"/>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Domain names</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(1,581)</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(2,309)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 and copyrights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(3,869)</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Others</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(2,472)</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(3,338)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r>
      <w:tr>
        <w:trPr>
          <w:trHeight w:val="27"/>
        </w:trPr>
        <w:tc>
          <w:tcPr>
            <w:tcW w:w="5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(7,922)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(10,775)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(1,547)</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7,428</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1,067</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Amortization expense of intangible assets for the years ended December 31, 2017, 2018 and 2019 was RMB5,108, RMB2,937 and RMB2,851 (US$410), respectively. As of December 31, 2019, estimated amortization expense of the existing intangible assets for each of the next five years and thereafter is as follows: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2021</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1,421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2023</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728</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7,428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As at December 31</w:t>
            </w:r>
          </w:p>
        </w:tc>
        <w:tc>
          <w:tcPr>
            <w:tcW w:w="2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020" w:type="dxa"/>
            <w:vAlign w:val="bottom"/>
            <w:gridSpan w:val="3"/>
          </w:tcPr>
          <w:p>
            <w:pPr>
              <w:jc w:val="center"/>
              <w:ind w:left="133"/>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w w:val="87"/>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 (Note 4)</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39,044</w:t>
            </w:r>
          </w:p>
        </w:tc>
        <w:tc>
          <w:tcPr>
            <w:tcW w:w="12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79,608</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Salary and welfare payable</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98,030</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136,762</w:t>
            </w:r>
          </w:p>
        </w:tc>
        <w:tc>
          <w:tcPr>
            <w:tcW w:w="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Accrual for purchase of property and equipment</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132,686</w:t>
            </w:r>
          </w:p>
        </w:tc>
        <w:tc>
          <w:tcPr>
            <w:tcW w:w="12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609,363</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87,530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Accrual for acquisition of equity investments</w:t>
            </w:r>
          </w:p>
        </w:tc>
        <w:tc>
          <w:tcPr>
            <w:tcW w:w="136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15,500</w:t>
            </w:r>
          </w:p>
        </w:tc>
        <w:tc>
          <w:tcPr>
            <w:tcW w:w="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100,114</w:t>
            </w:r>
          </w:p>
        </w:tc>
        <w:tc>
          <w:tcPr>
            <w:tcW w:w="12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67,027</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tax and surcharges payable</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7,251</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10,608</w:t>
            </w:r>
          </w:p>
        </w:tc>
        <w:tc>
          <w:tcPr>
            <w:tcW w:w="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31,523</w:t>
            </w:r>
          </w:p>
        </w:tc>
        <w:tc>
          <w:tcPr>
            <w:tcW w:w="12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7,919</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Others</w:t>
            </w:r>
          </w:p>
        </w:tc>
        <w:tc>
          <w:tcPr>
            <w:tcW w:w="1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22,426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949,213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136,346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0" w:type="dxa"/>
            <w:vAlign w:val="bottom"/>
            <w:gridSpan w:val="3"/>
          </w:tcPr>
          <w:p>
            <w:pPr>
              <w:ind w:left="40"/>
              <w:spacing w:after="0"/>
              <w:rPr>
                <w:sz w:val="20"/>
                <w:szCs w:val="20"/>
                <w:color w:val="auto"/>
              </w:rPr>
            </w:pPr>
            <w:r>
              <w:rPr>
                <w:rFonts w:ascii="Arial" w:cs="Arial" w:eastAsia="Arial" w:hAnsi="Arial"/>
                <w:sz w:val="18"/>
                <w:szCs w:val="18"/>
                <w:color w:val="auto"/>
              </w:rPr>
              <w:t>F-35</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59" w:right="69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20" w:right="940" w:firstLine="943"/>
        <w:spacing w:after="0" w:line="459" w:lineRule="auto"/>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 10. LONG-TERM BANK LOAN</w:t>
      </w:r>
    </w:p>
    <w:tbl>
      <w:tblPr>
        <w:tblLayout w:type="fixed"/>
        <w:tblInd w:w="14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As at December 31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10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10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gridSpan w:val="2"/>
          </w:tcPr>
          <w:p>
            <w:pPr>
              <w:spacing w:after="0"/>
              <w:rPr>
                <w:sz w:val="12"/>
                <w:szCs w:val="12"/>
                <w:color w:val="auto"/>
              </w:rPr>
            </w:pPr>
          </w:p>
        </w:tc>
        <w:tc>
          <w:tcPr>
            <w:tcW w:w="64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5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5"/>
              </w:rPr>
              <w:t>Long-term third-party bank loan guaranteed by a related party (Note 17):</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Current portion</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80,786</w:t>
            </w:r>
          </w:p>
        </w:tc>
        <w:tc>
          <w:tcPr>
            <w:tcW w:w="2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100,000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14,364</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174,352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74,351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10,680</w:t>
            </w:r>
          </w:p>
        </w:tc>
      </w:tr>
      <w:tr>
        <w:trPr>
          <w:trHeight w:val="223"/>
        </w:trPr>
        <w:tc>
          <w:tcPr>
            <w:tcW w:w="55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174,351</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25,044</w:t>
            </w:r>
          </w:p>
        </w:tc>
        <w:tc>
          <w:tcPr>
            <w:tcW w:w="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June 2016, the Group entered into a long-term loan facility for an aggregate principal amount of RMB400,000 with a bank in Beijing bearing a fixed annual interest rate of 90% of the benchmark five-year lending rate published by the PBOC. The facility expires on June 1, 2021. As of December 31, 2019, RMB160,786 (US$23,095) was repaid when it became due, and the amount repayable within twelve months is classified as “Long-term bank loan, current portion”. The interest rate for the outstanding loan with a bank in Beijing as of December 31, 2018 and 2019, was approximately 4.3% and 4.3%, respectively. There are no commitment fees and conditions under which lines may be withdrawn associated with the Group’s unused facilities.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2019, RMB174,351 (US$25,044) was drawn down and the loan principal will be due according to the following schedule:</w:t>
      </w:r>
    </w:p>
    <w:p>
      <w:pPr>
        <w:spacing w:after="0" w:line="267"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6350</wp:posOffset>
            </wp:positionV>
            <wp:extent cx="10801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60"/>
        <w:spacing w:after="0"/>
        <w:tabs>
          <w:tab w:leader="none" w:pos="92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801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40"/>
        <w:spacing w:after="0" w:line="232" w:lineRule="auto"/>
        <w:tabs>
          <w:tab w:leader="none" w:pos="926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US$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600" w:type="dxa"/>
            <w:vAlign w:val="bottom"/>
            <w:shd w:val="clear" w:color="auto" w:fill="CCEEFF"/>
          </w:tcPr>
          <w:p>
            <w:pPr>
              <w:jc w:val="right"/>
              <w:ind w:right="6150"/>
              <w:spacing w:after="0"/>
              <w:rPr>
                <w:sz w:val="20"/>
                <w:szCs w:val="20"/>
                <w:color w:val="auto"/>
              </w:rPr>
            </w:pPr>
            <w:r>
              <w:rPr>
                <w:rFonts w:ascii="Arial" w:cs="Arial" w:eastAsia="Arial" w:hAnsi="Arial"/>
                <w:sz w:val="18"/>
                <w:szCs w:val="18"/>
                <w:color w:val="auto"/>
                <w:w w:val="84"/>
              </w:rPr>
              <w:t>2020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14,364</w:t>
            </w:r>
          </w:p>
        </w:tc>
      </w:tr>
      <w:tr>
        <w:trPr>
          <w:trHeight w:val="216"/>
        </w:trPr>
        <w:tc>
          <w:tcPr>
            <w:tcW w:w="6600" w:type="dxa"/>
            <w:vAlign w:val="bottom"/>
          </w:tcPr>
          <w:p>
            <w:pPr>
              <w:jc w:val="right"/>
              <w:ind w:right="6150"/>
              <w:spacing w:after="0"/>
              <w:rPr>
                <w:sz w:val="20"/>
                <w:szCs w:val="20"/>
                <w:color w:val="auto"/>
              </w:rPr>
            </w:pPr>
            <w:r>
              <w:rPr>
                <w:rFonts w:ascii="Arial" w:cs="Arial" w:eastAsia="Arial" w:hAnsi="Arial"/>
                <w:sz w:val="18"/>
                <w:szCs w:val="18"/>
                <w:color w:val="auto"/>
                <w:w w:val="84"/>
              </w:rPr>
              <w:t>2021</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74,351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10,680</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174,351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25,044</w:t>
            </w:r>
          </w:p>
        </w:tc>
      </w:tr>
      <w:tr>
        <w:trPr>
          <w:trHeight w:val="20"/>
        </w:trPr>
        <w:tc>
          <w:tcPr>
            <w:tcW w:w="6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TAXATION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Enterprise income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Cayman Islands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gains. Additionally, upon payments of dividends by the Company to its shareholders, no Cayman Islands withholding tax will be imposed.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Hong Kong</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subsidiaries incorporated in Hong Kong are subject to income tax at the rate of 16.5% on the estimated assessable profits arising in Hong Kong. For the periods presented, the Group did not make any provisions for Hong Kong profit tax as there were no assessable profits derived from or earned in Hong Kong for any of the periods presented. Under the Hong Kong tax law, the subsidiaries in Hong Kong are exempted from income tax on its foreign-derived income and there are no withholding taxes in Hong Kong on remittance of dividends.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7920" w:hanging="444"/>
        <w:spacing w:after="0" w:line="408" w:lineRule="auto"/>
        <w:tabs>
          <w:tab w:leader="none" w:pos="3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 (Continued) </w:t>
      </w:r>
      <w:r>
        <w:rPr>
          <w:rFonts w:ascii="Arial" w:cs="Arial" w:eastAsia="Arial" w:hAnsi="Arial"/>
          <w:sz w:val="17"/>
          <w:szCs w:val="17"/>
          <w:b w:val="1"/>
          <w:bCs w:val="1"/>
          <w:i w:val="1"/>
          <w:iCs w:val="1"/>
          <w:color w:val="auto"/>
        </w:rPr>
        <w:t>Enterprise income tax (Continued)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China</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Group’s PRC entities are subject to the statutory income tax rate of 25%, in accordance with the Enterprise Income Tax law (the “EIT Law”), which was effective since January 1, 2008. Beijing Kingsoft Cloud and Beijing Kingsoft Cloud Network Technology being qualified as a High New Technology Enterprise (‘‘HNTE’’) is entitled to the preferential income tax rate of 15% for three years from 2016 to 2018 and successfully renewed its HNTE status for an additional three years from 2019 to 2021. In addition, Beijing Jinxun Ruibo being qualified as a HNTE is entitled to the preferential income tax rate of 15% for three years from 2017 to 2019. As of December 31, 2019, the Group is in the process of renewing the HNTE status for Beijing Jinxun Ruibo for three years from 2020 to 2022. Dividends, interests, rent or royalties payable by the Group’s PRC entities to non-PRC resident enterprises, and proceeds from any such non-resident enterprise investor’s disposition of assets (after deducting the net value of such assets) shall be subject to 10% EIT, namely withholding tax, unless the respective non-PRC resident enterprise’s jurisdiction of incorporation has a tax treaty or arrangements with China that provides for a reduced withholding tax rate or an exemption from withholding tax.</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before income taxes consists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7"/>
              </w:rPr>
              <w:t>For the year ended 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8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0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8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00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86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(747,283)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(1,055,676)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(1,167,367)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(167,680)</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Non-PRC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33,701</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58,866</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65,171</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14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(713,582)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(996,810)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(1,102,196)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(158,319)</w:t>
            </w:r>
          </w:p>
        </w:tc>
      </w:tr>
      <w:tr>
        <w:trPr>
          <w:trHeight w:val="20"/>
        </w:trPr>
        <w:tc>
          <w:tcPr>
            <w:tcW w:w="4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current and deferred components of income tax expense appearing in the consolidated statements of comprehensive loss are as follows: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7"/>
              </w:rPr>
              <w:t>For the year ended December 31</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80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RMB</w:t>
            </w:r>
          </w:p>
        </w:tc>
        <w:tc>
          <w:tcPr>
            <w:tcW w:w="440" w:type="dxa"/>
            <w:vAlign w:val="bottom"/>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Pr>
          <w:p>
            <w:pPr>
              <w:spacing w:after="0"/>
              <w:rPr>
                <w:sz w:val="12"/>
                <w:szCs w:val="12"/>
                <w:color w:val="auto"/>
              </w:rPr>
            </w:pPr>
          </w:p>
        </w:tc>
        <w:tc>
          <w:tcPr>
            <w:tcW w:w="5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40" w:type="dxa"/>
            <w:vAlign w:val="bottom"/>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2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(766)</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(177)</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(177)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32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4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6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2920" w:type="dxa"/>
            <w:vAlign w:val="bottom"/>
            <w:gridSpan w:val="3"/>
          </w:tcPr>
          <w:p>
            <w:pPr>
              <w:jc w:val="right"/>
              <w:ind w:right="1360"/>
              <w:spacing w:after="0"/>
              <w:rPr>
                <w:sz w:val="20"/>
                <w:szCs w:val="20"/>
                <w:color w:val="auto"/>
              </w:rPr>
            </w:pPr>
            <w:r>
              <w:rPr>
                <w:rFonts w:ascii="Arial" w:cs="Arial" w:eastAsia="Arial" w:hAnsi="Arial"/>
                <w:sz w:val="18"/>
                <w:szCs w:val="18"/>
                <w:color w:val="auto"/>
              </w:rPr>
              <w:t>F-37</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(Amounts in thousands of Renminbi (“RMB”) and US dollars (“US$”) except for number of shares and per share data)</w:t>
      </w:r>
    </w:p>
    <w:p>
      <w:pPr>
        <w:spacing w:after="0" w:line="248" w:lineRule="exact"/>
        <w:rPr>
          <w:sz w:val="20"/>
          <w:szCs w:val="20"/>
          <w:color w:val="auto"/>
        </w:rPr>
      </w:pPr>
    </w:p>
    <w:p>
      <w:pPr>
        <w:ind w:left="560" w:right="7120" w:hanging="444"/>
        <w:spacing w:after="0" w:line="408" w:lineRule="auto"/>
        <w:tabs>
          <w:tab w:leader="none" w:pos="38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 (Continued) </w:t>
      </w:r>
      <w:r>
        <w:rPr>
          <w:rFonts w:ascii="Arial" w:cs="Arial" w:eastAsia="Arial" w:hAnsi="Arial"/>
          <w:sz w:val="17"/>
          <w:szCs w:val="17"/>
          <w:b w:val="1"/>
          <w:bCs w:val="1"/>
          <w:i w:val="1"/>
          <w:iCs w:val="1"/>
          <w:color w:val="auto"/>
        </w:rPr>
        <w:t>Enterprise income tax (Continued)</w:t>
      </w:r>
    </w:p>
    <w:p>
      <w:pPr>
        <w:ind w:left="560"/>
        <w:spacing w:after="0"/>
        <w:rPr>
          <w:rFonts w:ascii="Arial" w:cs="Arial" w:eastAsia="Arial" w:hAnsi="Arial"/>
          <w:sz w:val="17"/>
          <w:szCs w:val="17"/>
          <w:b w:val="1"/>
          <w:bCs w:val="1"/>
          <w:color w:val="auto"/>
        </w:rPr>
      </w:pPr>
      <w:r>
        <w:rPr>
          <w:rFonts w:ascii="Arial" w:cs="Arial" w:eastAsia="Arial" w:hAnsi="Arial"/>
          <w:sz w:val="16"/>
          <w:szCs w:val="16"/>
          <w:color w:val="auto"/>
        </w:rPr>
        <w:t>The reconciliation of income tax expense computed using the PRC statutory tax rate to the actual income tax expense is as follows: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4"/>
              </w:rPr>
              <w:t>For the year ended December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8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56"/>
        </w:trPr>
        <w:tc>
          <w:tcPr>
            <w:tcW w:w="4800" w:type="dxa"/>
            <w:vAlign w:val="bottom"/>
          </w:tcPr>
          <w:p>
            <w:pPr>
              <w:spacing w:after="0"/>
              <w:rPr>
                <w:sz w:val="13"/>
                <w:szCs w:val="13"/>
                <w:color w:val="auto"/>
              </w:rPr>
            </w:pPr>
          </w:p>
        </w:tc>
        <w:tc>
          <w:tcPr>
            <w:tcW w:w="80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3"/>
                <w:szCs w:val="13"/>
                <w:color w:val="auto"/>
              </w:rPr>
            </w:pPr>
          </w:p>
        </w:tc>
        <w:tc>
          <w:tcPr>
            <w:tcW w:w="8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3"/>
                <w:szCs w:val="13"/>
                <w:color w:val="auto"/>
              </w:rPr>
            </w:pPr>
          </w:p>
        </w:tc>
        <w:tc>
          <w:tcPr>
            <w:tcW w:w="96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3"/>
                <w:szCs w:val="13"/>
                <w:color w:val="auto"/>
              </w:rPr>
            </w:pPr>
          </w:p>
        </w:tc>
        <w:tc>
          <w:tcPr>
            <w:tcW w:w="84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(713,582)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(996,810)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(1,102,196)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(158,319)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Income tax computed at the PRC statutory tax rate of 25%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(178,394)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(249,203)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(275,549)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(39,580)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 of tax holiday and preferential tax rates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Effect of different tax rates in different jurisdictions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(8,294)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(20,980)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(11,626)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(1,670)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non-taxable income</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(4,018)</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(21,557)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00" w:type="dxa"/>
            <w:vAlign w:val="bottom"/>
          </w:tcPr>
          <w:p>
            <w:pPr>
              <w:jc w:val="right"/>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20,931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64,095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9,207</w:t>
            </w:r>
          </w:p>
        </w:tc>
        <w:tc>
          <w:tcPr>
            <w:tcW w:w="1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costs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Research and development super deduction</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(45,953)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(75,787)</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(94,401)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(13,560)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 and others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tcPr>
          <w:p>
            <w:pPr>
              <w:jc w:val="right"/>
              <w:spacing w:after="0"/>
              <w:rPr>
                <w:sz w:val="20"/>
                <w:szCs w:val="20"/>
                <w:color w:val="auto"/>
              </w:rPr>
            </w:pPr>
            <w:r>
              <w:rPr>
                <w:rFonts w:ascii="Arial" w:cs="Arial" w:eastAsia="Arial" w:hAnsi="Arial"/>
                <w:sz w:val="18"/>
                <w:szCs w:val="18"/>
                <w:color w:val="auto"/>
              </w:rPr>
              <w:t>177,673</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369,257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259,031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37,207</w:t>
            </w:r>
          </w:p>
        </w:tc>
        <w:tc>
          <w:tcPr>
            <w:tcW w:w="1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Tax rate change on deferred items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(23,068)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38,017</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4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significant components of the Group’s deferred tax assets and liabilities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As at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140" w:type="dxa"/>
            <w:vAlign w:val="bottom"/>
            <w:gridSpan w:val="2"/>
          </w:tcPr>
          <w:p>
            <w:pPr>
              <w:jc w:val="center"/>
              <w:ind w:left="114"/>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Pr>
          <w:p>
            <w:pPr>
              <w:spacing w:after="0"/>
              <w:rPr>
                <w:sz w:val="12"/>
                <w:szCs w:val="12"/>
                <w:color w:val="auto"/>
              </w:rPr>
            </w:pPr>
          </w:p>
        </w:tc>
        <w:tc>
          <w:tcPr>
            <w:tcW w:w="8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380" w:type="dxa"/>
            <w:vAlign w:val="bottom"/>
          </w:tcPr>
          <w:p>
            <w:pPr>
              <w:spacing w:after="0"/>
              <w:rPr>
                <w:sz w:val="13"/>
                <w:szCs w:val="13"/>
                <w:color w:val="auto"/>
              </w:rPr>
            </w:pPr>
          </w:p>
        </w:tc>
        <w:tc>
          <w:tcPr>
            <w:tcW w:w="82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Tax loss carry forward</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684,029</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921,045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132,300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36,413</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71,720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Depreciation</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4,516</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2,775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5,787</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2,925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Government grant</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10,015</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2,268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2,223</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1,104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4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(742,983)</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(1,001,837)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(143,906)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arising from acquisition</w:t>
            </w:r>
          </w:p>
        </w:tc>
        <w:tc>
          <w:tcPr>
            <w:tcW w:w="1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2380" w:type="dxa"/>
            <w:vAlign w:val="bottom"/>
            <w:gridSpan w:val="3"/>
          </w:tcPr>
          <w:p>
            <w:pPr>
              <w:jc w:val="right"/>
              <w:ind w:right="1540"/>
              <w:spacing w:after="0"/>
              <w:rPr>
                <w:sz w:val="20"/>
                <w:szCs w:val="20"/>
                <w:color w:val="auto"/>
              </w:rPr>
            </w:pPr>
            <w:r>
              <w:rPr>
                <w:rFonts w:ascii="Arial" w:cs="Arial" w:eastAsia="Arial" w:hAnsi="Arial"/>
                <w:sz w:val="18"/>
                <w:szCs w:val="18"/>
                <w:color w:val="auto"/>
              </w:rPr>
              <w:t>F-38</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TAXATION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tax (Continued)</w:t>
      </w:r>
    </w:p>
    <w:p>
      <w:pPr>
        <w:spacing w:after="0" w:line="126" w:lineRule="exact"/>
        <w:rPr>
          <w:sz w:val="20"/>
          <w:szCs w:val="20"/>
          <w:color w:val="auto"/>
        </w:rPr>
      </w:pPr>
    </w:p>
    <w:p>
      <w:pPr>
        <w:ind w:left="540" w:right="180" w:hanging="424"/>
        <w:spacing w:after="0" w:line="238" w:lineRule="auto"/>
        <w:tabs>
          <w:tab w:leader="none" w:pos="5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Group recorded a full valuation allowance against deferred tax assets of all subsidiaries and VIEs, which are in a cumulative loss as of December 31, 2018 and 2019. In making such determination, the Group evaluates a variety of factors including the Group’s operating history, accumulated deficit, existence of taxable temporary differences and reversal periods.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As of December 31, 2019, the Group had net losses of approximately RMB3,708,687 (US$532,720) mainly deriving from entities in the PRC and Hong Kong. The tax losses in PRC can be carried forward for five years to offset future taxable profit. The tax losses of entities in the PRC will expire between 2020 to 2024, if not utilized. The tax losses in Hong Kong can be carried forward without an expiration date.</w:t>
      </w:r>
    </w:p>
    <w:p>
      <w:pPr>
        <w:spacing w:after="0" w:line="16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Group evaluated its income tax uncertainty under ASC 740. ASC 740 clarifies the accounting for uncertainty in income taxes by prescribing the recognition threshold a tax position is required to meet before being recognized in the consolidated financial statements. As of December 31, 2018 and 2019 and for the years ended December 31, 2017, 2018 and 2019, there was no significant impact from tax uncertainties on the Group’s consolidated financial position and result of operations. The Group did not record any interest and penalties related to an uncertain tax position for the periods presented. The Group does not expect the amount of unrecognized tax benefits would increase significantly in the next 12 months.</w:t>
      </w:r>
    </w:p>
    <w:p>
      <w:pPr>
        <w:spacing w:after="0" w:line="16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general, the tax authorities have three to five years to conduct examinations of the tax filings of the Group’s subsidiaries. Accordingly, the subsidiaries’ tax years of 2016 through 2019 remain open to examination by the respective tax authorities.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On December 6, 2017, the Company concurrently issued 81,313,365 redeemable convertible preferred shares (“Series D Preferred Shares”) at US$0.85 per share for a total cash consideration of US$69,000 and related Warrants to purchase a total of 36,532,091 Series D Preferred Shares to an investor. The key features of the Warrants are as follows: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Exercise Period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Warrants are exercisable at any time from the issuance date. If not previously exercised, the Warrants shall expire on the earlier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December 6, 2021; or (ii) the date of submission by the Company of a registration statement in connection with an initial public offering (“IPO”).</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Exercise Price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exercise price shall be US$ equivalent of RMB5.609 per Series D Preferred Shares.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for the Warrant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Warrants are freestanding instruments that represent a right to purchase the Company’s Series D Preferred Shares (which are redeemable), and impose an obligation to the Company. Thus, the Warrants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for the Warrant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classified as current liabilities in accordance with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 Company also evaluated the conversion feature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determined that there was no beneficial conversion feature. There are no other embedded derivatives that are required to be bifurcated. On issuance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date, the Warrants were allocated with its full fair value from the proceeds received from the issuance of the Series D Preferred Shares, and are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subsequently remeasured to fair value through earnings at each reporting date until the Warrants are exercised or expire. For the years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2017 and 2018, the Company recognized a gain from the decrease in fair value of RMB3,016 and RMB6,404, respectively. The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determined the fair value of the Warrants with the assistance of an independent third party valuation firm.</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May 25, 2018, all of the Warrants were exercised for 36,532,091 Series D Preferred Shares at US$0.88 per share. As of December 31, 2018 and 2019, there were no warrants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CONVERTIBLE PREFERRED SHARES AND REDEEMABLE CONVERTIBLE PREFERRED SHARES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January 1, 2017, several investors held in aggregate 458,116,000 of Series A convertible preferred shares (“Series A Preferred Shares”), representing all of the Company’s issued and outstanding Series A Preferred Shares. The Series A Preferred Shares were issued on various dates in 2013 and 2015 at US$0.07 per share for a total cash consideration of US$34,000.</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January 1, 2017, several investors held in aggregate 153,603,600 of Series B convertible preferred shares (“Series B Preferred Shares”), representing all of the Company’s issued and outstanding Series B Preferred Shares. The Series B Preferred Shares were issued on various dates in 2015 at US$0.36 per share for a total cash consideration of US$54,988.</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January 1, 2017, several investors held in aggregate 185,665,192 of Series C redeemable convertible preferred shares (“Series C Preferred Shares”), representing all of the Company’s issued and outstanding Series C Preferred Shares. The Series C Preferred Shares were issued on various dates in 2016 at US$0.59 per share for a total cash consideration of US$108,903.</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 September 21, 2017, December 6, 2017, February 28, 2018, the Company issued in aggregate 576,264,281 Series D Preferred Shares to certain investors at US$0.85 per share for a total cash consideration of US$521,000. On March 29, 2018, the Company issued in aggregate 229,942,410 Series D Preferred Shares to certain investors at US$0.87 per share for a total cash consideration of US$200,000.</w:t>
      </w:r>
    </w:p>
    <w:p>
      <w:pPr>
        <w:spacing w:after="0" w:line="165"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On December 27, 2019, the Company entered into an agreement to issue in aggregate 77,125,997 Series D+ redeemable convertible preferred shares (the “Series D+ Preferred Shares”) to investors at US$0.91 per share. On December 30, 2019, the Company received cash consideration of US$50,000 in exchange for issuing 55,089,998 Series D+ Preferred Shares. On January 8, 2020, the Company received cash consideration of US$20,000 in exchange for issuing the remaining 22,035,999 Series D+ Preferred Shares.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CONVERTIBLE PREFERRED SHARES AND REDEEMABLE CONVERTIBLE PREFERRED SHARES (Continued)</w:t>
      </w:r>
    </w:p>
    <w:p>
      <w:pPr>
        <w:spacing w:after="0" w:line="13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key features of the Series A convertible preferred shares, Series B convertible preferred shares, Series C redeemable convertible preferred shares, Series D redeemable convertible preferred shares and Series D+ redeemable convertible preferred shares (collectively, the “Preferred Shares”) are summarized as follows: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Each holder of the Series D+ Preferred Shares is entitled to receive on a pari passu basis, when, if and as declared at the sole discretion of the Board of Directors, prior and in preference to Series D, Series C, Series B, Series A preferred shareholders and ordinary shareholders.</w:t>
      </w:r>
    </w:p>
    <w:p>
      <w:pPr>
        <w:spacing w:after="0" w:line="12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Each holder of the Series D Preferred Shares is entitled to receive on a pari passu basis, when, if and as declared at the sole discretion of the Board of Directors, prior and in preference to Series C, Series B, Series A preferred shareholders and ordinary shareholders.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C Preferred Shares is entitled to receive on a pari passu basis, when, if and as declared at the sole discretion of the Board of Directors, prior and in preference to Series B, Series A preferred shareholders and ordinary shareholders.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B Preferred Shares is entitled to receive on a pari passu basis, when, if and as declared at the sole discretion of the Board of Directors, prior and in preference to Series A preferred shareholders and ordinary shareholders.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holder of the Series A Preferred Shares is entitled to receive on a pari passu basis, when, if and as declared at the sole discretion of the Board of Directors, prior and in preference to ordinary shareholders.</w:t>
      </w:r>
    </w:p>
    <w:p>
      <w:pPr>
        <w:spacing w:after="0" w:line="17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After payment of the dividends to the Series D+, Series D, Series C, Series B and Series A preferred shareholders (collectively, referred to as the “Preferred Shareholders” or “Preferred Shareholder”), each ordinary shareholder shall be entitled to receive dividends payable in cash, whenever funds are legally available, on a pari passu basis, if and as declared by the Board of Directors.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Dividends declared by the Board of Directors but unpaid shall accrue and be payable when and as such cash becomes available. Dividends are non-cumulative. No dividends were declared during the periods presented.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Each Preferred Shareholder is entitled to the number of votes equal to the number of ordinary shares into which such holder’s Preferred Shares could be converted. Preferred Shareholders shall vote together with ordinary shareholders, with respect to any matter upon which ordinary shareholders have the right to vote.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CONVERTIBLE PREFERRED SHARES AND REDEEMABLE CONVERTIBLE PREFERRED SHARES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jc w:val="both"/>
        <w:ind w:left="120" w:right="80" w:firstLine="440"/>
        <w:spacing w:after="0" w:line="342" w:lineRule="auto"/>
        <w:rPr>
          <w:sz w:val="20"/>
          <w:szCs w:val="20"/>
          <w:color w:val="auto"/>
        </w:rPr>
      </w:pPr>
      <w:r>
        <w:rPr>
          <w:rFonts w:ascii="Arial" w:cs="Arial" w:eastAsia="Arial" w:hAnsi="Arial"/>
          <w:sz w:val="16"/>
          <w:szCs w:val="16"/>
          <w:color w:val="auto"/>
        </w:rPr>
        <w:t>In the event of liquidation, dissolution or winding up of the Company, either voluntary or involuntary, or any deemed liquidation event as defined in the Company’s articles of association (the “Liquidation Transaction”), the assets of the Company available for distribution shall be made as follows:</w:t>
      </w:r>
    </w:p>
    <w:p>
      <w:pPr>
        <w:spacing w:after="0" w:line="12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holder of the Series D+ Preferred Shares shall be entitled to receive, on a pari passu basis, an amount equal to the sum of 120% of the issue price of the Series D+ Preferred Shares for each outstanding Series D+ Preferred Shares, plus all declared but unpaid dividends. If the assets and funds thus distributed among the holders of the Series D+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D+ Preferred Shares in proportion to the full preferential amount each such holder is otherwise entitled to receive.</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completion of the distributions of the full amount made to each holder of the Series D+ Preferred Shares in accordance with the above, the remaining assets of Company available for distribution to each holder of the Series D Preferred Shares, on a pari passu basis, an amount equal to the sum of 120% of the issue price of the Series D Preferred Shares for each outstanding Series D Preferred Shares, plus all declared but unpaid dividends. If the assets and funds thus distributed among the holders of the Series D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D Preferred Shares in proportion to the full preferential amount each such holder is otherwise entitled to receive.</w:t>
      </w:r>
    </w:p>
    <w:p>
      <w:pPr>
        <w:spacing w:after="0" w:line="19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completion of the distributions of the full amount made to each holder of the Series D and Series D+ Preferred Shares in accordance with the above, the remaining assets of Company available for distribution to each holder of the Series C Preferred Shares, on a pari passu basis, with an amount equal to the sum of 120% of the issue price of the Series C Preferred Shares for each outstanding Series C Preferred Shares, plus all declared but unpaid dividends. If the assets and funds thus distributed among the holders of the Series C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C Preferred Shares in proportion to the full preferential amount each such holder is otherwise entitled to receive.</w:t>
      </w:r>
    </w:p>
    <w:p>
      <w:pPr>
        <w:spacing w:after="0" w:line="19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Upon completion of the distributions of the full amount made to each holder of the Series C, Series D and Series D+ Preferred Shares in accordance with the above, the remaining assets of Company available for distribution to each holder of the Series B Preferred Shares, on a pari passu basis, with an amount equal to the sum of 120% of the issue price of the Series B Preferred Shares for each outstanding Series B Preferred Shares, plus all declared but unpaid dividends. If the assets and funds thus distributed among the holders of the Series B Preferred Shares shall be insufficient to permit the payment to such holders of the full aforesaid preferential amounts, then the entire assets and funds of the Company legally available for distribution to shareholders shall be distributed ratably among the holders of the Series B Preferred Shares in proportion to the full preferential amount each such holder is otherwise entitled to receive.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1460" w:hanging="444"/>
        <w:spacing w:after="0" w:line="385" w:lineRule="auto"/>
        <w:tabs>
          <w:tab w:leader="none" w:pos="389"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After payment has been made to the Series B, Series C, Series D and Series D+ Preferred Shareholders in accordance with the above, all of the remaining assets of the Company available for distribution to shareholders shall be ratably distributed among the Series A Preferred Shareholders and holders of ordinary shares on a pari passu basis. The liquidation preference amount was US$1,121,958 as of December 31, 2019.</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Each holder of the Preferred Shares has the right, at each holder’s sole discretion, to convert at any time and from time to time, all or any portion of the Preferred Shares into ordinary shares.</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initial conversion price is the stated issuance price for each series of Preferred Shares. The initial conversion ratio for each series of Preferred Shares is on a one for one basis and subject to adjustments in the event of share splits, reverse share splits, share dividends and distribution, or any capital reorganization or reclassification of the ordinary shares. The initial conversion ratio for the Series C, Series D and Series D+ Preferred Shares is also subject to adjustment in the event that the Company issues additional ordinary shares for a consideration per share less than the original respective conversion price, as the case may be, in effect on the date of and immediately prior to such issue. In such event, the respective conversion price is reduced, concurrently with such issue, to a price as adjusted according to an agreed-upon formula in the Company’s articles of association.</w:t>
      </w:r>
    </w:p>
    <w:p>
      <w:pPr>
        <w:spacing w:after="0" w:line="16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Preferred Shares are automatically converted into ordinary shares immediately upon the closing of an IPO. As of December 31, 2019, the conversion ratio was one preferred share convertible into one ordinary share.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Series B Preferred Shares are subject to redemption by the Company at the option of the investor, Celestial Power Limited (“Celestial”) in the event a public offering in which the pre-IPO market value of the Company is no less than US$1,512,500 and results in gross proceeds of no less than US$151,250 (“Series B Qualified IPO”) fails to be consummated as a result of Kingsoft Corporation Limited’s (the controlling shareholder of the Company) voluntary refusal to approve the Series B Qualified IPO proposal. The redemption price shall be equal to the lower of (i) the applicable fair market value of such Series B Preferred Shares or (ii) the applicable purchase price of such Series B Preferred Shares paid by Celestial pursuant to the Series B Preferred Shares Purchase Agreements.</w:t>
      </w:r>
    </w:p>
    <w:p>
      <w:pPr>
        <w:spacing w:after="0" w:line="19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Series C Preferred Shares are subject to redemption by the Company at the option of the holders if the Company fails to complete an IPO on May 16, 2021. The redemption price shall be equal to original issuance price and a return at the compound rate of 8% per annum calculated from the date of the actual issuance of such Series C Preferred Shares to the date on which such preferred share is redeemed.</w:t>
      </w:r>
    </w:p>
    <w:p>
      <w:pPr>
        <w:spacing w:after="0" w:line="16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Series D and Series D+ Preferred Shares are subject to redemption by the Company at the option of the holders if the Company fails to complete a public offering in which the pre-IPO market value of the Company is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500" w:hanging="444"/>
        <w:spacing w:after="0" w:line="385" w:lineRule="auto"/>
        <w:tabs>
          <w:tab w:leader="none" w:pos="389"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Redemption (Continued)</w:t>
      </w:r>
    </w:p>
    <w:p>
      <w:pPr>
        <w:spacing w:after="0" w:line="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no less than US$3,000,000 and results in gross proceeds of no less than US$300,000 (“Series D Qualified IPO”) on May 16, 2021. The redemption price shall be equal to original issuance price and a return at the compound rate of 8% per annum calculated from the date of the actual issuance of such Series D and Series D+ Preferred Shares to the date on which such preferred share is redeemed.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the Preferred Shareholders have the following registration rights except for Xiaomi Corporation:</w:t>
      </w:r>
    </w:p>
    <w:p>
      <w:pPr>
        <w:spacing w:after="0" w:line="252"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Demand Registration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At any time after the earlier of (i) December 27, 2023, or (ii) the first anniversary of the consummation of an IPO, holders holding in the aggregate not less than 30% of the registrable securities then outstanding may make a written request to the Company to register, and the Company shall use its best efforts to register, under the Securities Act the number of registrable securities specified in such requests, provided, however, that (i) the Company shall not be obligated to effect more than two such demand registrations and (ii) the Company shall not be obligated to effect a demand registration if the initiating holders propose to sell their registrable securities in an amount less than 30% of the registrable securities then outstanding.</w:t>
      </w:r>
    </w:p>
    <w:p>
      <w:pPr>
        <w:spacing w:after="0" w:line="188"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Piggyback Registration Rights</w:t>
      </w:r>
    </w:p>
    <w:p>
      <w:pPr>
        <w:spacing w:after="0" w:line="117" w:lineRule="exact"/>
        <w:rPr>
          <w:sz w:val="20"/>
          <w:szCs w:val="20"/>
          <w:color w:val="auto"/>
        </w:rPr>
      </w:pPr>
    </w:p>
    <w:p>
      <w:pPr>
        <w:jc w:val="both"/>
        <w:ind w:left="120" w:right="700" w:firstLine="440"/>
        <w:spacing w:after="0" w:line="311" w:lineRule="auto"/>
        <w:rPr>
          <w:sz w:val="20"/>
          <w:szCs w:val="20"/>
          <w:color w:val="auto"/>
        </w:rPr>
      </w:pPr>
      <w:r>
        <w:rPr>
          <w:rFonts w:ascii="Arial" w:cs="Arial" w:eastAsia="Arial" w:hAnsi="Arial"/>
          <w:sz w:val="16"/>
          <w:szCs w:val="16"/>
          <w:color w:val="auto"/>
        </w:rPr>
        <w:t>If the Company proposes to register any ordinary shares in connection with an offering by the Company for its own account (other than a registration utilizing Form F-4 or F-8 or any successor thereto) or for the account of any shareholder of the Company other than a holder of the registrable securities, then each holder shall have the right to have all or any portion of its registrable securities included in such registration.</w:t>
      </w:r>
    </w:p>
    <w:p>
      <w:pPr>
        <w:spacing w:after="0" w:line="176"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F-3 Registration Rights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At any time following the consummation of an IPO, after the Company becomes eligible to use Form F-3 in connection with a public offering of its securities, holder(s) holding in the aggregate not less than 30% of the registrable securities may make a written request to the Company to register, and the Company shall use its commercially reasonable efforts to register, under the Securities Act on Form F-3 the number of registrable securities specified in such request within 60 days after the Company receives such written request. However, the Company shall not be required to effect any such registration (a) within 90 days after the effective date of any other registration statement of the Company; (b) if within the twelve month period preceding the date of such request, the Company has effected two such registrations on Form F-3; (c) if Form F-3 is not available for such offering by such holders; or (d) if holders requesting inclusion of registrable securities in such registration propose to sell such registrable securities at an aggregate price to the public of less than US$2,000,000.</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is required to use its best efforts to affect the registration if requested by the Preferred Shareholders, but the provisions of the registration rights do not stipulate the consequences of non-performance if the Company made its best efforts to effect registration nor any requirement to pay any monetary or non-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1460" w:hanging="444"/>
        <w:spacing w:after="0" w:line="385" w:lineRule="auto"/>
        <w:tabs>
          <w:tab w:leader="none" w:pos="389"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Registration rights (Continued)</w:t>
      </w:r>
    </w:p>
    <w:p>
      <w:pPr>
        <w:spacing w:after="0" w:line="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monetary consideration for non-performance. The registration rights shall terminate on the earlier of (i) the fifth anniversary of the effective date of the IPO and (ii) with respect to any security holder, the date on which such holder may sell all of its registrable securities under Rule 144 of the Securities Act in any 30 day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Series A Preferred Shares are classified as permanent equity because they are not redeemable and the holders of the Series A Preferred Shares are entitled to receive the same form of consideration upon a Liquidation Transaction as holders of equally and more subordinated equity instruments, specifically, the ordinary shareholders.</w:t>
      </w:r>
    </w:p>
    <w:p>
      <w:pPr>
        <w:spacing w:after="0" w:line="184"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Series B Preferred Shares are classified as mezzanine equity as they may be redeemed upon the occurrence of conditional events such as a Liquidation Transaction and Kingsoft Corporation Limited’s voluntary refusal to approve the Series B Qualified IPO proposal. The Series C, Series D and Series D+ Preferred Shares are classified as mezzanine equity as they may be redeemed at the option of the holders on or after an agreed upon date outside the sole control of the Company.</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Preferred Shareholders have the ability to convert the instrument into the Company’s ordinary shares. The Company uses the whole instrument approach to determine whether the nature of the host contract in a hybrid instrument is more akin to debt or to equity. The Company evaluated the embedded conversion option in the Preferred Shares to determine if there were any embedded derivatives requiring bifurcation and to determine if there were any beneficial conversion features (“BCF”). The conversion option of the Preferred Shares does not qualify for bifurcation accounting because the conversion option is clearly and closely related to the host instrument and the underlying ordinary shares are not publicly traded nor readily convertible into cash. The contingent redemption options and registration rights of all the Preferred Shares do not qualify for bifurcation accounting because the underlying ordinary shares are not publicly traded nor readily convertible into cash. There are no other embedded derivatives that are required to be bifurcated.</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BCF exists when the conversion price of the preferred shares is lower than the fair value of the ordinary shares at the commitment date, which is the issuance date of the respective series of Preferred Shares in the Company’s case. When a BCF exists as of the commitment date, its intrinsic value is bifurcated from the carrying value of the Preferred Shares as a contribution to additional paid-in capital. The resulting discount, if any, to the Preferred Shares is immediately amortized in full as a deemed dividend because the earliest conversion date is the issuance date. On February 28, 2018, March 29, 2018, May 25, 2018 (Note 12) and December 30, 2019, the most favorable conversion prices used to measure the beneficial conversion feature were US$0.85, US$0.87, US$0.88 and US$0.91, respectively, while the fair value per ordinary share at the commitment dates were US$0.60, US$0.62, US$0.63 and US$0.76, respectively. Therefore, no BCF was recognized for the Series D and Series D+ Preferred Shares because the fair values per ordinary share at the commitment dates were less than the respective most favorable conversion price. The Company determined the fair value of the ordinary shares with the assistance of an independent third party valuation firm. The contingent conversion price adjustment is accounted for as a contingent BCF. In accordance with ASC paragraph</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560" w:right="1420" w:hanging="444"/>
        <w:spacing w:after="0" w:line="385" w:lineRule="auto"/>
        <w:tabs>
          <w:tab w:leader="none" w:pos="389"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Accounting for Preferred Shares (Continued)</w:t>
      </w:r>
    </w:p>
    <w:p>
      <w:pPr>
        <w:spacing w:after="0" w:line="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470-20-35-1, changes to the conversion terms that would be triggered by future events not controlled by the issuer should be accounted as contingent conversions, and the intrinsic value of such conversion options would not be recognized until and unless a triggering event occurs. No contingent BCF has been recognized for the periods presented.</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concluded that the Series B Preferred Shares are not redeemable currently, and is not probable that the Series B Preferred Shares will become redeemable because the likelihood of Liquidation Transaction is remote. Therefore, no adjustment will be made to the initial carrying amount of the Series B Preferred Shares until it is probable that they will become redeemable.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concluded that the Series C, Series D and Series D+ Preferred Shares are not redeemable currently, but it is probable that the Series C, Series D and Series D+ Preferred Shares will become redeemable. The Company chose to recognize changes in the redemption value immediately as they occur and adjusted the carrying amount of the Series C, Series D and Series D+ Preferred Shares to equal the redemption value at the end of each reporting period. An accretion charge of RMB605,515, RMB 742,472 and RMB49,725 (US$7,143) related to the Series C, Series D and Series D+ Preferred Shares was recorded as an increase to the net loss attributable to ordinary shareholders for the years ended December 31, 2017, 2018 and 2019, respectively.</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60"/>
          </w:cols>
          <w:pgMar w:left="320" w:top="459" w:right="5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1480" w:hanging="444"/>
        <w:spacing w:after="0" w:line="385" w:lineRule="auto"/>
        <w:tabs>
          <w:tab w:leader="none" w:pos="389"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SHARES AND REDEEMABLE CONVERTIBLE PREFERRED SHARES (Continued) </w:t>
      </w:r>
      <w:r>
        <w:rPr>
          <w:rFonts w:ascii="Arial" w:cs="Arial" w:eastAsia="Arial" w:hAnsi="Arial"/>
          <w:sz w:val="18"/>
          <w:szCs w:val="18"/>
          <w:i w:val="1"/>
          <w:iCs w:val="1"/>
          <w:color w:val="auto"/>
        </w:rPr>
        <w:t>Accounting for Preferred Shares (Continued)</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movement in the carrying value of the Series C, Series D and Series D+ Preferred Shares is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Series C</w:t>
            </w:r>
          </w:p>
        </w:tc>
        <w:tc>
          <w:tcPr>
            <w:tcW w:w="500" w:type="dxa"/>
            <w:vAlign w:val="bottom"/>
          </w:tcPr>
          <w:p>
            <w:pPr>
              <w:spacing w:after="0"/>
              <w:rPr>
                <w:sz w:val="14"/>
                <w:szCs w:val="14"/>
                <w:color w:val="auto"/>
              </w:rPr>
            </w:pPr>
          </w:p>
        </w:tc>
        <w:tc>
          <w:tcPr>
            <w:tcW w:w="16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Series D</w:t>
            </w: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Series 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Mezzanine equity</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Preferred</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700" w:type="dxa"/>
            <w:vAlign w:val="bottom"/>
            <w:gridSpan w:val="3"/>
            <w:vMerge w:val="continue"/>
          </w:tcPr>
          <w:p>
            <w:pPr>
              <w:spacing w:after="0"/>
              <w:rPr>
                <w:sz w:val="14"/>
                <w:szCs w:val="14"/>
                <w:color w:val="auto"/>
              </w:rPr>
            </w:pPr>
          </w:p>
        </w:tc>
        <w:tc>
          <w:tcPr>
            <w:tcW w:w="1320" w:type="dxa"/>
            <w:vAlign w:val="bottom"/>
            <w:gridSpan w:val="2"/>
          </w:tcPr>
          <w:p>
            <w:pPr>
              <w:jc w:val="center"/>
              <w:ind w:left="159"/>
              <w:spacing w:after="0" w:line="158" w:lineRule="exact"/>
              <w:rPr>
                <w:sz w:val="20"/>
                <w:szCs w:val="20"/>
                <w:color w:val="auto"/>
              </w:rPr>
            </w:pPr>
            <w:r>
              <w:rPr>
                <w:rFonts w:ascii="Arial" w:cs="Arial" w:eastAsia="Arial" w:hAnsi="Arial"/>
                <w:sz w:val="14"/>
                <w:szCs w:val="14"/>
                <w:b w:val="1"/>
                <w:bCs w:val="1"/>
                <w:color w:val="auto"/>
                <w:w w:val="92"/>
              </w:rPr>
              <w:t>Preferred Shares</w:t>
            </w:r>
          </w:p>
        </w:tc>
        <w:tc>
          <w:tcPr>
            <w:tcW w:w="212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Preferred Shares</w:t>
            </w:r>
          </w:p>
        </w:tc>
        <w:tc>
          <w:tcPr>
            <w:tcW w:w="12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2"/>
                <w:szCs w:val="12"/>
                <w:color w:val="auto"/>
              </w:rPr>
            </w:pPr>
          </w:p>
        </w:tc>
        <w:tc>
          <w:tcPr>
            <w:tcW w:w="780" w:type="dxa"/>
            <w:vAlign w:val="bottom"/>
            <w:tcBorders>
              <w:top w:val="single" w:sz="8" w:color="auto"/>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1,043,147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2,328,553</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3,371,700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Issuance of Series D Preferred Shares</w:t>
            </w:r>
          </w:p>
        </w:tc>
        <w:tc>
          <w:tcPr>
            <w:tcW w:w="26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2,902,235</w:t>
            </w:r>
          </w:p>
        </w:tc>
        <w:tc>
          <w:tcPr>
            <w:tcW w:w="5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2,902,235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Less: Series D Preferred Shares issuance costs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(7,987)</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Accretion to redemption value</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742,472</w:t>
            </w:r>
          </w:p>
        </w:tc>
        <w:tc>
          <w:tcPr>
            <w:tcW w:w="560" w:type="dxa"/>
            <w:vAlign w:val="bottom"/>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2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1,043,147</w:t>
            </w:r>
          </w:p>
        </w:tc>
        <w:tc>
          <w:tcPr>
            <w:tcW w:w="5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5,965,273</w:t>
            </w: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7,008,420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color w:val="auto"/>
              </w:rPr>
              <w:t>Issuance of Series D+ Preferred Shares</w:t>
            </w: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349,395</w:t>
            </w:r>
          </w:p>
        </w:tc>
        <w:tc>
          <w:tcPr>
            <w:tcW w:w="5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Less: Series D+ Preferred Shares issuance costs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Accretion to redemption value</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49,725</w:t>
            </w:r>
          </w:p>
        </w:tc>
        <w:tc>
          <w:tcPr>
            <w:tcW w:w="5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2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1,043,147</w:t>
            </w:r>
          </w:p>
        </w:tc>
        <w:tc>
          <w:tcPr>
            <w:tcW w:w="5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5,965,273</w:t>
            </w:r>
          </w:p>
        </w:tc>
        <w:tc>
          <w:tcPr>
            <w:tcW w:w="5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388,844</w:t>
            </w:r>
          </w:p>
        </w:tc>
        <w:tc>
          <w:tcPr>
            <w:tcW w:w="5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7,397,264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color w:val="auto"/>
              </w:rPr>
              <w:t>Balance as of December 31, 2019 (US$)</w:t>
            </w:r>
          </w:p>
        </w:tc>
        <w:tc>
          <w:tcPr>
            <w:tcW w:w="13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149,839</w:t>
            </w:r>
          </w:p>
        </w:tc>
        <w:tc>
          <w:tcPr>
            <w:tcW w:w="5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856,858</w:t>
            </w:r>
          </w:p>
        </w:tc>
        <w:tc>
          <w:tcPr>
            <w:tcW w:w="5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55,854</w:t>
            </w:r>
          </w:p>
        </w:tc>
        <w:tc>
          <w:tcPr>
            <w:tcW w:w="5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1,062,551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SHARE-BASED PAYMENTS</w:t>
      </w:r>
    </w:p>
    <w:p>
      <w:pPr>
        <w:spacing w:after="0" w:line="121" w:lineRule="exact"/>
        <w:rPr>
          <w:sz w:val="20"/>
          <w:szCs w:val="20"/>
          <w:color w:val="auto"/>
        </w:rPr>
      </w:pPr>
    </w:p>
    <w:p>
      <w:pPr>
        <w:ind w:left="120" w:firstLine="440"/>
        <w:spacing w:after="0" w:line="327" w:lineRule="auto"/>
        <w:rPr>
          <w:sz w:val="20"/>
          <w:szCs w:val="20"/>
          <w:color w:val="auto"/>
        </w:rPr>
      </w:pPr>
      <w:r>
        <w:rPr>
          <w:rFonts w:ascii="Arial" w:cs="Arial" w:eastAsia="Arial" w:hAnsi="Arial"/>
          <w:sz w:val="15"/>
          <w:szCs w:val="15"/>
          <w:color w:val="auto"/>
        </w:rPr>
        <w:t>The Company has two share-based compensation plans under which awards may be granted to employees, namely, the Share Option Scheme and the Share Award Scheme. The maximum aggregate number of ordinary shares that are authorized to be issued under the Share Option Scheme and Share Award Scheme is 209,750,000 and 215,376,304, respectively. Both plans have a contractual term of ten years. The share-based awards are accounted for as equity awards and generally contain only service vesting conditions for the periods presented, and generally vest over a period from two to five years.</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7480" w:hanging="444"/>
        <w:spacing w:after="0" w:line="385" w:lineRule="auto"/>
        <w:tabs>
          <w:tab w:leader="none" w:pos="389"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PAYMENTS (Continued) </w:t>
      </w:r>
      <w:r>
        <w:rPr>
          <w:rFonts w:ascii="Arial" w:cs="Arial" w:eastAsia="Arial" w:hAnsi="Arial"/>
          <w:sz w:val="18"/>
          <w:szCs w:val="18"/>
          <w:b w:val="1"/>
          <w:bCs w:val="1"/>
          <w:i w:val="1"/>
          <w:iCs w:val="1"/>
          <w:color w:val="auto"/>
        </w:rPr>
        <w:t>Share Option Scheme</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 summary of the activity under the Share Option Scheme is stated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Weighted-</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Weighted-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average</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average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64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97"/>
              </w:rPr>
              <w:t>Number of</w:t>
            </w:r>
          </w:p>
        </w:tc>
        <w:tc>
          <w:tcPr>
            <w:tcW w:w="18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4"/>
              </w:rPr>
              <w:t>average exercise</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0"/>
              </w:rPr>
              <w:t>grant-date</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2"/>
              </w:rPr>
              <w:t>remaining</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64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options</w:t>
            </w: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2"/>
              </w:rPr>
              <w:t>price</w:t>
            </w:r>
          </w:p>
        </w:tc>
        <w:tc>
          <w:tcPr>
            <w:tcW w:w="14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fair value</w:t>
            </w:r>
          </w:p>
        </w:tc>
        <w:tc>
          <w:tcPr>
            <w:tcW w:w="19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contractual term</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4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Years</w:t>
            </w:r>
          </w:p>
        </w:tc>
        <w:tc>
          <w:tcPr>
            <w:tcW w:w="6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173,094,000</w:t>
            </w:r>
          </w:p>
        </w:tc>
        <w:tc>
          <w:tcPr>
            <w:tcW w:w="6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0.22</w:t>
            </w:r>
          </w:p>
        </w:tc>
        <w:tc>
          <w:tcPr>
            <w:tcW w:w="1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5"/>
              </w:rPr>
              <w:t>7.04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33,350,000</w:t>
            </w:r>
          </w:p>
        </w:tc>
        <w:tc>
          <w:tcPr>
            <w:tcW w:w="66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0.07</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7"/>
              </w:rPr>
              <w:t>(14,000,000)</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0.07</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(312,000)</w:t>
            </w: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0.07</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7"/>
              </w:rPr>
              <w:t>(62,280,000)</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Outstanding, December 31,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129,852,000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0.37</w:t>
            </w:r>
          </w:p>
        </w:tc>
        <w:tc>
          <w:tcPr>
            <w:tcW w:w="1920" w:type="dxa"/>
            <w:vAlign w:val="bottom"/>
            <w:gridSpan w:val="2"/>
          </w:tcPr>
          <w:p>
            <w:pPr>
              <w:jc w:val="center"/>
              <w:ind w:left="252"/>
              <w:spacing w:after="0"/>
              <w:rPr>
                <w:sz w:val="20"/>
                <w:szCs w:val="20"/>
                <w:color w:val="auto"/>
              </w:rPr>
            </w:pPr>
            <w:r>
              <w:rPr>
                <w:rFonts w:ascii="Arial" w:cs="Arial" w:eastAsia="Arial" w:hAnsi="Arial"/>
                <w:sz w:val="18"/>
                <w:szCs w:val="18"/>
                <w:color w:val="auto"/>
                <w:w w:val="85"/>
              </w:rPr>
              <w:t>7.32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129,852,000</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0.37</w:t>
            </w:r>
          </w:p>
        </w:tc>
        <w:tc>
          <w:tcPr>
            <w:tcW w:w="1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5"/>
              </w:rPr>
              <w:t>7.32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Exercisable at December 31, 2019</w:t>
            </w: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0.07</w:t>
            </w: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0.18</w:t>
            </w:r>
          </w:p>
        </w:tc>
        <w:tc>
          <w:tcPr>
            <w:tcW w:w="1920" w:type="dxa"/>
            <w:vAlign w:val="bottom"/>
            <w:gridSpan w:val="2"/>
            <w:vMerge w:val="restart"/>
          </w:tcPr>
          <w:p>
            <w:pPr>
              <w:jc w:val="center"/>
              <w:ind w:left="212"/>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57,570,000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aggregate intrinsic value in the table above represents the difference between the fair value of the Company’s ordinary share as of December 31, 2019 and the option’s respective exercise price. Total intrinsic value of options exercised for the years ended December 2017 and 2018 was RMB nil (US$ nil) as no options were exercised. Total intrinsic value of options exercised for the year ended December 31, 2019 was RMB308,665 (US$44,337).</w:t>
      </w:r>
    </w:p>
    <w:p>
      <w:pPr>
        <w:spacing w:after="0" w:line="18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The total weighted average grant-date fair value of the share-based awards granted during the years ended December 31, 2017, 2018 and 2019 were US$0.48, US$0.58 and US$0.65 per option, respectively. The aggregate fair value of the share-based awards vested during the years ended December 31, 2017, 2018 and 2019 were RMB10,074, RMB43,115 and RMB36,060 (US$5,180), respectively.</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of December 31, 2019, there was RMB137,712 (US$19,781) of total unrecognized employee share-based compensation expenses, related to unvested share-based awards, which are expected to be recognized over a weighted-average period of 1.73 years. Total unrecognized compensation cost may be adjusted for actual forfeitures occurring in the future.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560" w:right="7480" w:hanging="444"/>
        <w:spacing w:after="0" w:line="385" w:lineRule="auto"/>
        <w:tabs>
          <w:tab w:leader="none" w:pos="389"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PAYMENTS (Continued) </w:t>
      </w:r>
      <w:r>
        <w:rPr>
          <w:rFonts w:ascii="Arial" w:cs="Arial" w:eastAsia="Arial" w:hAnsi="Arial"/>
          <w:sz w:val="18"/>
          <w:szCs w:val="18"/>
          <w:b w:val="1"/>
          <w:bCs w:val="1"/>
          <w:i w:val="1"/>
          <w:iCs w:val="1"/>
          <w:color w:val="auto"/>
        </w:rPr>
        <w:t>Share Award Scheme</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 summary of the activity for the restricted shares issued under the Share Award Scheme is stated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4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84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grant date fair value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47,462,176</w:t>
            </w:r>
          </w:p>
        </w:tc>
        <w:tc>
          <w:tcPr>
            <w:tcW w:w="9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88"/>
              </w:rPr>
              <w:t>46,335,200</w:t>
            </w:r>
          </w:p>
        </w:tc>
        <w:tc>
          <w:tcPr>
            <w:tcW w:w="9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w w:val="94"/>
              </w:rPr>
              <w:t>(39,001,200)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gridSpan w:val="3"/>
          </w:tcPr>
          <w:p>
            <w:pPr>
              <w:jc w:val="right"/>
              <w:ind w:right="860"/>
              <w:spacing w:after="0"/>
              <w:rPr>
                <w:sz w:val="20"/>
                <w:szCs w:val="20"/>
                <w:color w:val="auto"/>
              </w:rPr>
            </w:pPr>
            <w:r>
              <w:rPr>
                <w:rFonts w:ascii="Arial" w:cs="Arial" w:eastAsia="Arial" w:hAnsi="Arial"/>
                <w:sz w:val="18"/>
                <w:szCs w:val="18"/>
                <w:color w:val="auto"/>
              </w:rPr>
              <w:t>(1,500,000)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9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53,296,176</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Expected to vest at December 31, 2019</w:t>
            </w: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53,296,176</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31, 2019, there was RMB199,294 (US$28,627) of total unrecognized share-based compensation expenses related to unvested share-based awards which are expected to be recognized over a weighted-average period of 3.17 years. The fair value of the awarded shares is the fair value of the Company’s ordinary shares at their respective grant dates, which was determined with the assistance of an independent third party valuer. Total unrecognized compensation cost may be adjusted for actual forfeitures occurring in the future.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activity for the options issued under the Share Award Scheme is stated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2"/>
            <w:vMerge w:val="continue"/>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grant-</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date</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options</w:t>
            </w: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fair value</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center"/>
              <w:ind w:left="52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19,556,800</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5"/>
              </w:rPr>
              <w:t>0.87</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19,556,800</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0.87</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For the year ended December 31, 2019, the share options were out of the money, therefore, no intrinsic value was disclosed. The total weighted average grant-date fair value of the share-based awards granted during the year ended December 31, 2019 was US$0.30 per option. The aggregate fair value of the share-based awards vested during the year ended December 31, 2019 was RMB nil (US$ nil).</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of December 31, 2019, there was RMB39,432 (US$5,664) of total unrecognized employee share-based compensation expenses, related to unvested share-based awards, which are expected to be recognized over a weighted-average period of 4.11 years. Total unrecognized compensation cost may be adjusted for actual forfeitures occurring in the future.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SHARE-BASED PAYMENTS (Continued)</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share options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The fair value of options was determined using the binomial tree model, with the assistance from an independent third-party appraiser. The binomial model requires the input of highly subjective assumptions, including the expected share price volatility and the exercise multiple. For expected volatility, the Company has made reference to historical volatility of several comparable companies. The exercise multiple was estimated as the average ratio of the stock price to the exercise price of when employees would decide to voluntarily exercise their vested options. As the Company did not have sufficient information of past employee exercise history, it has considered the statistics on exercise patterns of employees compiled by Huddart and Lang in Huddart, S., and M. Lang. 1996. “Employee Stock Option Exercises: An Empirical Analysis.” </w:t>
      </w:r>
      <w:r>
        <w:rPr>
          <w:rFonts w:ascii="Arial" w:cs="Arial" w:eastAsia="Arial" w:hAnsi="Arial"/>
          <w:sz w:val="16"/>
          <w:szCs w:val="16"/>
          <w:i w:val="1"/>
          <w:iCs w:val="1"/>
          <w:color w:val="auto"/>
        </w:rPr>
        <w:t>Journal of Accounting and Economics</w:t>
      </w:r>
      <w:r>
        <w:rPr>
          <w:rFonts w:ascii="Arial" w:cs="Arial" w:eastAsia="Arial" w:hAnsi="Arial"/>
          <w:sz w:val="16"/>
          <w:szCs w:val="16"/>
          <w:color w:val="auto"/>
        </w:rPr>
        <w:t>, vol. 21, no. 1 (February):5-43, which are widely adopted by valuers as authoritative guidance on expected exercise multiples. For the employee exit rate, which represents the annual turnover rate of employees leaving services, we use the historical employee exiting data to have an estimate of that input. The risk-free rate for the period within the contractual life of the options is based on the market yield of U.S. Treasury Bonds in effect at the time of grant. The estimated fair values of the ordinary shares, at the option grant dates, was determined with the assistance from an independent third-party appraiser. The Company’s management is ultimately responsible for the determination of the estimated fair value of its ordinary shares.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to estimate the fair value of the share options granted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47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65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1.98%-2.10%</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1.58%-1.80%</w:t>
            </w:r>
          </w:p>
        </w:tc>
        <w:tc>
          <w:tcPr>
            <w:tcW w:w="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Expected volatility range</w:t>
            </w:r>
          </w:p>
        </w:tc>
        <w:tc>
          <w:tcPr>
            <w:tcW w:w="840" w:type="dxa"/>
            <w:vAlign w:val="bottom"/>
          </w:tcPr>
          <w:p>
            <w:pPr>
              <w:jc w:val="right"/>
              <w:spacing w:after="0"/>
              <w:rPr>
                <w:sz w:val="20"/>
                <w:szCs w:val="20"/>
                <w:color w:val="auto"/>
              </w:rPr>
            </w:pPr>
            <w:r>
              <w:rPr>
                <w:rFonts w:ascii="Arial" w:cs="Arial" w:eastAsia="Arial" w:hAnsi="Arial"/>
                <w:sz w:val="18"/>
                <w:szCs w:val="18"/>
                <w:color w:val="auto"/>
              </w:rPr>
              <w:t>44.60%</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42.40%-43.00%</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37.40%-37.90%</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2.20-2.80</w:t>
            </w:r>
          </w:p>
        </w:tc>
        <w:tc>
          <w:tcPr>
            <w:tcW w:w="8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Fair market value per ordinary share as at valuation dates</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US$0.55</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rPr>
              <w:t>US$0.63-$0.68</w:t>
            </w:r>
          </w:p>
        </w:tc>
        <w:tc>
          <w:tcPr>
            <w:tcW w:w="1840" w:type="dxa"/>
            <w:vAlign w:val="bottom"/>
            <w:gridSpan w:val="2"/>
          </w:tcPr>
          <w:p>
            <w:pPr>
              <w:ind w:left="420"/>
              <w:spacing w:after="0"/>
              <w:rPr>
                <w:sz w:val="20"/>
                <w:szCs w:val="20"/>
                <w:color w:val="auto"/>
              </w:rPr>
            </w:pPr>
            <w:r>
              <w:rPr>
                <w:rFonts w:ascii="Arial" w:cs="Arial" w:eastAsia="Arial" w:hAnsi="Arial"/>
                <w:sz w:val="18"/>
                <w:szCs w:val="18"/>
                <w:color w:val="auto"/>
                <w:w w:val="95"/>
              </w:rPr>
              <w:t>US$0.72-US$0.76</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amount of share-based compensation expense included in each of the relevant financial statement line items: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8"/>
              </w:rPr>
              <w:t>For the year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60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940" w:type="dxa"/>
            <w:vAlign w:val="bottom"/>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6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12,618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37,808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5,431</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8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26,320</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42,974</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8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121,279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8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RESTRICTED NET ASSETS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Company’s ability to pay dividends is primarily dependent on the Company receiving distributions of funds from its subsidiaries. Relevant PRC statutory laws and regulations permit payments of dividends by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RESTRICTED NET ASSETS (Continued)</w:t>
      </w:r>
    </w:p>
    <w:p>
      <w:pPr>
        <w:spacing w:after="0" w:line="13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Group’s PRC subsidiaries only out of its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accordance with the Regulations on Enterprises with Foreign Investment of China and its Articles of Association, the Company’s PRC subsidiaries, being a foreign-invested enterprise established in the PRC, are required to provide certain statutory reserves, namely the general reserve fund, enterprise expansion fund and staff welfare and bonus fund, all of which are appropriated from net profit as reported in its PRC statutory accounts. The Company’s PRC subsidiaries are required to allocate at least 10% of its annual after-tax profit to the general reserve fund until such fund has reached 50% of its registered capital based on the enterprise’s PRC statutory accounts. Appropriations to the enterprise expansion fund and staff welfare and bonus fund are at the discretion of the Board of Directors of the PRC subsidiaries. These reserves can only be used for specific purposes and are not transferable to the Company in the form of loans, advances, or cash dividends.</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accordance with the PRC Company Laws, the Company’s PRC subsidiaries and the VIEs must make appropriations from their annual after-tax profits as reported in their PRC statutory accounts to non-distributable reserve funds, namely statutory surplus fund, statutory public welfare fund and discretionary surplus fund. The VIEs is required to allocate at least 10% of their after-tax profits to the statutory surplus fund until such fund has reached 50% of their respective registered capital. Appropriation to discretionary surplus is made at the discretion of the Board of Directors of the VIEs. These reserves can only be used for specific purposes and are not transferable to the Company in the form of loans, advances, or cash dividends.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appropriations were made to statutory reserves during all periods presented due to losses in the Company’s PRC subsidiaries and the VIEs.</w:t>
      </w:r>
    </w:p>
    <w:p>
      <w:pPr>
        <w:spacing w:after="0" w:line="24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Under PRC laws and regulations, there are restrictions on the Company’s PRC subsidiaries and the VIEs with respect to transferring certain of their net assets to the Company either in the form of dividends, loans, or advances. Amounts restricted include paid-in capital of the Company’s PRC subsidiaries and the VIEs, totaling approximately RMB2,371,304 (US$340,617) as of December 31, 2019; therefore, in accordance with Rules 504 and 4.08(e)(3) of Regulation S-X, the condensed parent company only financial statements as of December 31, 2018 and 2019 and for each of the three years in the period ended December 31, 2019 are disclosed in Note 22.</w:t>
      </w:r>
    </w:p>
    <w:p>
      <w:pPr>
        <w:spacing w:after="0" w:line="176"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Furthermore, cash transfers from the Company’s PRC subsidiaries to its subsidiaries outside of China are subject to PRC government control of currency conversion. Shortages in the availability of foreign currency may restrict the ability of the PRC subsidiaries and consolidated VIEs to remit sufficient foreign currency to pay dividends or other payments to the Company, or otherwise satisfy their foreign currency denominated obligations.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20" w:right="960" w:firstLine="943"/>
        <w:spacing w:after="0" w:line="456" w:lineRule="auto"/>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 16. LOSS PER SHARE</w:t>
      </w:r>
    </w:p>
    <w:p>
      <w:pPr>
        <w:ind w:left="560"/>
        <w:spacing w:after="0"/>
        <w:rPr>
          <w:sz w:val="20"/>
          <w:szCs w:val="20"/>
          <w:color w:val="auto"/>
        </w:rPr>
      </w:pPr>
      <w:r>
        <w:rPr>
          <w:rFonts w:ascii="Arial" w:cs="Arial" w:eastAsia="Arial" w:hAnsi="Arial"/>
          <w:sz w:val="18"/>
          <w:szCs w:val="18"/>
          <w:color w:val="auto"/>
        </w:rPr>
        <w:t>Basic and diluted loss per share for each of the years presented are calculated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10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r>
      <w:tr>
        <w:trPr>
          <w:trHeight w:val="156"/>
        </w:trPr>
        <w:tc>
          <w:tcPr>
            <w:tcW w:w="5820" w:type="dxa"/>
            <w:vAlign w:val="bottom"/>
          </w:tcPr>
          <w:p>
            <w:pPr>
              <w:spacing w:after="0"/>
              <w:rPr>
                <w:sz w:val="13"/>
                <w:szCs w:val="13"/>
                <w:color w:val="auto"/>
              </w:rPr>
            </w:pPr>
          </w:p>
        </w:tc>
        <w:tc>
          <w:tcPr>
            <w:tcW w:w="108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10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12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(714,250)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(1,006,442)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(1,111,199)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(159,612)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8"/>
              </w:rPr>
              <w:t>Accretion to redemption value of redeemable convertible preferred shares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(605,515)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(742,472)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(7,143)</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Net loss attributable to ordinary shareholders—basic and diluted</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(1,319,765)</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(1,748,914)</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(1,160,924)</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(166,755)</w:t>
            </w:r>
          </w:p>
        </w:tc>
        <w:tc>
          <w:tcPr>
            <w:tcW w:w="14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w w:val="94"/>
              </w:rPr>
              <w:t>Weighted average number of ordinary shares outstanding—basic and diluted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793,430,000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793,430,000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889,521,200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889,521,200</w:t>
            </w:r>
          </w:p>
        </w:tc>
      </w:tr>
      <w:tr>
        <w:trPr>
          <w:trHeight w:val="20"/>
        </w:trPr>
        <w:tc>
          <w:tcPr>
            <w:tcW w:w="5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r>
      <w:tr>
        <w:trPr>
          <w:trHeight w:val="20"/>
        </w:trPr>
        <w:tc>
          <w:tcPr>
            <w:tcW w:w="5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For the periods presented herein, the computation of basic loss per share using the two-class method is not applicable as the Group is in a net loss position and the participating securities do not have contractual rights and obligations to share in the losses of the Group. The effects of all outstanding Preferred Shares, Warrants, options, and awarded shares were excluded from the computation of diluted loss per share for the periods presented as their effects would be anti-dilutive.</w:t>
      </w:r>
    </w:p>
    <w:p>
      <w:pPr>
        <w:sectPr>
          <w:pgSz w:w="11900" w:h="16838" w:orient="portrait"/>
          <w:cols w:equalWidth="0" w:num="1">
            <w:col w:w="11140"/>
          </w:cols>
          <w:pgMar w:left="320" w:top="459" w:right="439" w:bottom="1440" w:gutter="0" w:footer="0" w:header="0"/>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RELATED PARTY TRANSACTIONS</w:t>
      </w:r>
    </w:p>
    <w:p>
      <w:pPr>
        <w:spacing w:after="0" w:line="135"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i w:val="1"/>
          <w:iCs w:val="1"/>
          <w:color w:val="auto"/>
        </w:rPr>
      </w:pPr>
      <w:r>
        <w:rPr>
          <w:rFonts w:ascii="Arial" w:cs="Arial" w:eastAsia="Arial" w:hAnsi="Arial"/>
          <w:sz w:val="18"/>
          <w:szCs w:val="18"/>
          <w:i w:val="1"/>
          <w:iCs w:val="1"/>
          <w:color w:val="auto"/>
        </w:rPr>
        <w:t>Related Parties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of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300" w:right="100" w:hanging="179"/>
        <w:spacing w:after="0" w:line="257" w:lineRule="auto"/>
        <w:rPr>
          <w:sz w:val="20"/>
          <w:szCs w:val="20"/>
          <w:color w:val="auto"/>
        </w:rPr>
      </w:pPr>
      <w:r>
        <w:rPr>
          <w:rFonts w:ascii="Arial" w:cs="Arial" w:eastAsia="Arial" w:hAnsi="Arial"/>
          <w:sz w:val="18"/>
          <w:szCs w:val="18"/>
          <w:color w:val="auto"/>
        </w:rPr>
        <w:t>Kingsoft Corporation Limited and its subsidiaries (other than all of entities of the Group) (“Kingsoft Group”)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Cheetah Mobile Inc. and its subsidiaries (“Cheetah Group”)</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Xiaomi Corporation and its subsidiaries (“Xiaomi Group”)</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Relationship with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Controlling shareholder of the Company</w:t>
      </w:r>
    </w:p>
    <w:p>
      <w:pPr>
        <w:spacing w:after="0" w:line="223" w:lineRule="exact"/>
        <w:rPr>
          <w:sz w:val="20"/>
          <w:szCs w:val="20"/>
          <w:color w:val="auto"/>
        </w:rPr>
      </w:pPr>
    </w:p>
    <w:p>
      <w:pPr>
        <w:ind w:right="720"/>
        <w:spacing w:after="0" w:line="258" w:lineRule="auto"/>
        <w:rPr>
          <w:sz w:val="20"/>
          <w:szCs w:val="20"/>
          <w:color w:val="auto"/>
        </w:rPr>
      </w:pPr>
      <w:r>
        <w:rPr>
          <w:rFonts w:ascii="Arial" w:cs="Arial" w:eastAsia="Arial" w:hAnsi="Arial"/>
          <w:sz w:val="18"/>
          <w:szCs w:val="18"/>
          <w:color w:val="auto"/>
        </w:rPr>
        <w:t>Entity that Kingsoft Corporation Limited exercises significant influence over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Entity controlled by a director of the Company</w:t>
      </w:r>
    </w:p>
    <w:p>
      <w:pPr>
        <w:sectPr>
          <w:pgSz w:w="11900" w:h="16838" w:orient="portrait"/>
          <w:cols w:equalWidth="0" w:num="2">
            <w:col w:w="5800" w:space="160"/>
            <w:col w:w="5180"/>
          </w:cols>
          <w:pgMar w:left="320" w:top="459" w:right="439" w:bottom="1440" w:gutter="0" w:footer="0" w:header="0"/>
          <w:type w:val="continuous"/>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(Amounts in thousands of Renminbi (“RMB”) and US dollars (“US$”) except for number of shares and per share data)</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RELATED PARTY TRANSACTIONS (Continued)</w:t>
      </w:r>
    </w:p>
    <w:p>
      <w:pPr>
        <w:spacing w:after="0" w:line="135"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The Group had the following related party transactions: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For the year ended 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68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600" w:type="dxa"/>
            <w:vAlign w:val="bottom"/>
            <w:tcBorders>
              <w:top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Public cloud services provided to Xiaomi Group</w:t>
            </w:r>
          </w:p>
        </w:tc>
        <w:tc>
          <w:tcPr>
            <w:tcW w:w="680" w:type="dxa"/>
            <w:vAlign w:val="bottom"/>
          </w:tcPr>
          <w:p>
            <w:pPr>
              <w:jc w:val="right"/>
              <w:spacing w:after="0"/>
              <w:rPr>
                <w:sz w:val="20"/>
                <w:szCs w:val="20"/>
                <w:color w:val="auto"/>
              </w:rPr>
            </w:pPr>
            <w:r>
              <w:rPr>
                <w:rFonts w:ascii="Arial" w:cs="Arial" w:eastAsia="Arial" w:hAnsi="Arial"/>
                <w:sz w:val="18"/>
                <w:szCs w:val="18"/>
                <w:color w:val="auto"/>
              </w:rPr>
              <w:t>322,934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546,577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570,431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cloud services provided to Kingsoft Group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109,177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Public cloud services provided to Cheetah Group</w:t>
            </w:r>
          </w:p>
        </w:tc>
        <w:tc>
          <w:tcPr>
            <w:tcW w:w="680" w:type="dxa"/>
            <w:vAlign w:val="bottom"/>
          </w:tcPr>
          <w:p>
            <w:pPr>
              <w:jc w:val="right"/>
              <w:spacing w:after="0"/>
              <w:rPr>
                <w:sz w:val="20"/>
                <w:szCs w:val="20"/>
                <w:color w:val="auto"/>
              </w:rPr>
            </w:pPr>
            <w:r>
              <w:rPr>
                <w:rFonts w:ascii="Arial" w:cs="Arial" w:eastAsia="Arial" w:hAnsi="Arial"/>
                <w:sz w:val="18"/>
                <w:szCs w:val="18"/>
                <w:color w:val="auto"/>
              </w:rPr>
              <w:t>23,900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8,579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Enterprise cloud services provided to Xiaomi Group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Other services provided to Xiaomi Group</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407,774</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630,511</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688,307</w:t>
            </w: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Purchase of services from Xiaomi Group</w:t>
            </w: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18,868</w:t>
            </w:r>
          </w:p>
        </w:tc>
        <w:tc>
          <w:tcPr>
            <w:tcW w:w="220" w:type="dxa"/>
            <w:vAlign w:val="bottom"/>
          </w:tcPr>
          <w:p>
            <w:pPr>
              <w:spacing w:after="0"/>
              <w:rPr>
                <w:sz w:val="18"/>
                <w:szCs w:val="18"/>
                <w:color w:val="auto"/>
              </w:rPr>
            </w:pPr>
          </w:p>
        </w:tc>
        <w:tc>
          <w:tcPr>
            <w:tcW w:w="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Purchase of devices from Xiaomi Group</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expense on loan due to Kingsoft Group</w:t>
            </w:r>
          </w:p>
        </w:tc>
        <w:tc>
          <w:tcPr>
            <w:tcW w:w="680" w:type="dxa"/>
            <w:vAlign w:val="bottom"/>
          </w:tcPr>
          <w:p>
            <w:pPr>
              <w:jc w:val="right"/>
              <w:spacing w:after="0"/>
              <w:rPr>
                <w:sz w:val="20"/>
                <w:szCs w:val="20"/>
                <w:color w:val="auto"/>
              </w:rPr>
            </w:pPr>
            <w:r>
              <w:rPr>
                <w:rFonts w:ascii="Arial" w:cs="Arial" w:eastAsia="Arial" w:hAnsi="Arial"/>
                <w:sz w:val="18"/>
                <w:szCs w:val="18"/>
                <w:color w:val="auto"/>
              </w:rPr>
              <w:t>30,206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25,111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4,925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Rental of building from Xiaomi Group</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Rental of office space, and administrative services from Kingsoft Group</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21,313</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24,524</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41,734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Included in Note 10 is a guarantee by Kingsoft Group of the Group’s long-term third-party bank loan as at December 31, 2018 and 2019.</w:t>
      </w:r>
    </w:p>
    <w:p>
      <w:pPr>
        <w:spacing w:after="0" w:line="275"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i w:val="1"/>
          <w:iCs w:val="1"/>
          <w:color w:val="auto"/>
        </w:rPr>
      </w:pPr>
      <w:r>
        <w:rPr>
          <w:rFonts w:ascii="Arial" w:cs="Arial" w:eastAsia="Arial" w:hAnsi="Arial"/>
          <w:sz w:val="18"/>
          <w:szCs w:val="18"/>
          <w:i w:val="1"/>
          <w:iCs w:val="1"/>
          <w:color w:val="auto"/>
        </w:rPr>
        <w:t>The Group had the following related party balances at the end of the year:</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at December 31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7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from related parties:</w:t>
            </w:r>
          </w:p>
        </w:tc>
        <w:tc>
          <w:tcPr>
            <w:tcW w:w="2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Xiaomi Group</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151,169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63,859</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9,173</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Cheetah Group</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Kingsoft Group</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47,040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43,716</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6,279</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Senior executives*</w:t>
            </w:r>
          </w:p>
        </w:tc>
        <w:tc>
          <w:tcPr>
            <w:tcW w:w="28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24,461</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198,895</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133,968</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8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due to related parties:</w:t>
            </w:r>
          </w:p>
        </w:tc>
        <w:tc>
          <w:tcPr>
            <w:tcW w:w="2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Kingsoft Group**</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329,385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81,909</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11,766</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Xiaomi Group</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8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349,634</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104,259</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14,976</w:t>
            </w:r>
          </w:p>
        </w:tc>
        <w:tc>
          <w:tcPr>
            <w:tcW w:w="8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3560" w:type="dxa"/>
            <w:vAlign w:val="bottom"/>
            <w:gridSpan w:val="2"/>
          </w:tcPr>
          <w:p>
            <w:pPr>
              <w:jc w:val="right"/>
              <w:ind w:right="2237"/>
              <w:spacing w:after="0"/>
              <w:rPr>
                <w:sz w:val="20"/>
                <w:szCs w:val="20"/>
                <w:color w:val="auto"/>
              </w:rPr>
            </w:pPr>
            <w:r>
              <w:rPr>
                <w:rFonts w:ascii="Arial" w:cs="Arial" w:eastAsia="Arial" w:hAnsi="Arial"/>
                <w:sz w:val="18"/>
                <w:szCs w:val="18"/>
                <w:color w:val="auto"/>
              </w:rPr>
              <w:t>F-53</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420"/>
          </w:cols>
          <w:pgMar w:left="320" w:top="459" w:right="11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RELATED PARTY TRANSACTIONS (Continued)</w:t>
      </w:r>
    </w:p>
    <w:p>
      <w:pPr>
        <w:spacing w:after="0" w:line="130"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Group provided interest bearing loans to senior executives, which were fully settled in February 2020 (Note 21). Interest income of RMB982 (US$141) was recorded as interest</w:t>
      </w:r>
    </w:p>
    <w:p>
      <w:pPr>
        <w:ind w:left="540"/>
        <w:spacing w:after="0" w:line="237" w:lineRule="auto"/>
        <w:rPr>
          <w:sz w:val="20"/>
          <w:szCs w:val="20"/>
          <w:color w:val="auto"/>
        </w:rPr>
      </w:pPr>
      <w:r>
        <w:rPr>
          <w:rFonts w:ascii="Arial" w:cs="Arial" w:eastAsia="Arial" w:hAnsi="Arial"/>
          <w:sz w:val="14"/>
          <w:szCs w:val="14"/>
          <w:color w:val="auto"/>
        </w:rPr>
        <w:t>income during the year ended December 31, 2019.</w:t>
      </w:r>
    </w:p>
    <w:p>
      <w:pPr>
        <w:spacing w:after="0" w:line="1" w:lineRule="exact"/>
        <w:rPr>
          <w:sz w:val="20"/>
          <w:szCs w:val="20"/>
          <w:color w:val="auto"/>
        </w:rPr>
      </w:pPr>
    </w:p>
    <w:p>
      <w:pPr>
        <w:jc w:val="both"/>
        <w:ind w:left="540" w:hanging="424"/>
        <w:spacing w:after="0" w:line="232" w:lineRule="auto"/>
        <w:tabs>
          <w:tab w:leader="none" w:pos="5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On December 1, 2014, the Company entered into a loan agreement with Kingsoft, pursuant to which, Kingsoft agreed to provide a facility amounting to US$500,000 to the Group. The maturity date of the facility is three years from draw down date. As of December 31, 2018, RMB225,000 was provided under this facility at an interest rate of 5.23% per annum. As of September 30, 2019, the entire outstanding balance was fully repaid.</w:t>
      </w:r>
    </w:p>
    <w:p>
      <w:pPr>
        <w:spacing w:after="0" w:line="187"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All the balances with related parties were unsecured. All outstanding balances are also repayable on demand unless otherwise disclosed. No allowance for doubtful accounts was recognized for the amount due from related parties for the periods presented.</w:t>
      </w:r>
    </w:p>
    <w:p>
      <w:pPr>
        <w:spacing w:after="0" w:line="250" w:lineRule="exact"/>
        <w:rPr>
          <w:sz w:val="20"/>
          <w:szCs w:val="20"/>
          <w:color w:val="auto"/>
        </w:rPr>
      </w:pPr>
    </w:p>
    <w:p>
      <w:pPr>
        <w:ind w:left="560" w:right="7280" w:hanging="444"/>
        <w:spacing w:after="0" w:line="377" w:lineRule="auto"/>
        <w:tabs>
          <w:tab w:leader="none" w:pos="389"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 commitments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payments under non-cancelable operating leases with initial terms in excess of one year consist of the following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RMB</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55,316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7,946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55,423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53,114</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7,629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195,468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28,077</w:t>
            </w:r>
          </w:p>
        </w:tc>
      </w:tr>
      <w:tr>
        <w:trPr>
          <w:trHeight w:val="223"/>
        </w:trPr>
        <w:tc>
          <w:tcPr>
            <w:tcW w:w="66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410,789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59,006</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40" w:lineRule="auto"/>
        <w:rPr>
          <w:sz w:val="20"/>
          <w:szCs w:val="20"/>
          <w:color w:val="auto"/>
        </w:rPr>
      </w:pPr>
      <w:r>
        <w:rPr>
          <w:rFonts w:ascii="Arial" w:cs="Arial" w:eastAsia="Arial" w:hAnsi="Arial"/>
          <w:sz w:val="15"/>
          <w:szCs w:val="15"/>
          <w:color w:val="auto"/>
        </w:rPr>
        <w:t>Payments under operating leases are expensed on a straight-line basis over the periods of their respective leases. The Group’s lease arrangements have no renewal options, rent escalation clauses, restrictions or contingent rents. For the years ended December 31, 2017, 2018 and 2019, total rental related expenses for all operating leases amounted to approximately RMB15,062, RMB21,879 and RMB35,008 (US$5,029), respectively.</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capital lease obligations outstanding as of December 31, 2019.</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expenditure commitments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Group has commitments for the construction of an exhibition hall of RMB21,646 (US$3,109) at December 31, 2019, which are scheduled to be paid within one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Group is currently not involved in any legal or administrative proceedings that may have a material adverse impact on the Group’s business, financial position or results of operations.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ACCUMULATED OTHER COMPREHENSIVE INCOME</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RMB</w:t>
            </w:r>
          </w:p>
        </w:tc>
      </w:tr>
      <w:tr>
        <w:trPr>
          <w:trHeight w:val="209"/>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Foreign currency translation adjustments, net of tax of nil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401,820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419,750</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Foreign currency translation adjustments, net of tax of nil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484,348</w:t>
            </w: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reclassifications out of accumulated other comprehensive income to net loss for the periods presented.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UNAUDITED PRO FORMA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unaudited pro forma net loss per share attributable to ordinary shareholders: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3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year ended December 31, 2019</w:t>
            </w:r>
          </w:p>
        </w:tc>
      </w:tr>
      <w:tr>
        <w:trPr>
          <w:trHeight w:val="142"/>
        </w:trPr>
        <w:tc>
          <w:tcPr>
            <w:tcW w:w="802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RMB</w:t>
            </w:r>
          </w:p>
        </w:tc>
        <w:tc>
          <w:tcPr>
            <w:tcW w:w="13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(1,111,199)</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(159,612)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outstanding—basic and diluted</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889,521,200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889,521,200</w:t>
            </w: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 adjustment to reflect assumed effect of automatic conversion of the Preferred Shares (Note 2)</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1,717,249,571</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1,717,249,571</w:t>
            </w:r>
          </w:p>
        </w:tc>
      </w:tr>
      <w:tr>
        <w:trPr>
          <w:trHeight w:val="244"/>
        </w:trPr>
        <w:tc>
          <w:tcPr>
            <w:tcW w:w="8020" w:type="dxa"/>
            <w:vAlign w:val="bottom"/>
          </w:tcPr>
          <w:p>
            <w:pPr>
              <w:spacing w:after="0"/>
              <w:rPr>
                <w:sz w:val="20"/>
                <w:szCs w:val="20"/>
                <w:color w:val="auto"/>
              </w:rPr>
            </w:pPr>
            <w:r>
              <w:rPr>
                <w:rFonts w:ascii="Arial" w:cs="Arial" w:eastAsia="Arial" w:hAnsi="Arial"/>
                <w:sz w:val="18"/>
                <w:szCs w:val="18"/>
                <w:color w:val="auto"/>
              </w:rPr>
              <w:t>Pro forma weighted average number of shares outstanding—basic and diluted</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2,606,770,771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2,606,770,771</w:t>
            </w:r>
          </w:p>
        </w:tc>
        <w:tc>
          <w:tcPr>
            <w:tcW w:w="140" w:type="dxa"/>
            <w:vAlign w:val="bottom"/>
          </w:tcPr>
          <w:p>
            <w:pPr>
              <w:spacing w:after="0"/>
              <w:rPr>
                <w:sz w:val="21"/>
                <w:szCs w:val="21"/>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ordinary shareholders—basic and diluted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r>
      <w:tr>
        <w:trPr>
          <w:trHeight w:val="20"/>
        </w:trPr>
        <w:tc>
          <w:tcPr>
            <w:tcW w:w="80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effects of all outstanding Preferred Shares, options and awarded shares were excluded from the computation of diluted pro forma loss per share as their effects would be anti-dilutive during the periods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On January 20, 2020, the Company granted a total of 38,000,000 awards to an employee under the Share Award Scheme. The total expected unrecognized compensation costs for awards granted amounted to approximately RMB148,245 (US$21,294). On the same date, the Company also granted 16,000,000 awards to same employee, which are subject to performance conditions that will be determined by the Board of Directors on a future date. Hence, these options did not meet the grant date definition for accounting purposes in accordance with ASC 718-10-20.</w:t>
      </w:r>
    </w:p>
    <w:p>
      <w:pPr>
        <w:spacing w:after="0" w:line="15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On February 8, 2020, the Company granted a total of 5,000,000 awards to an employee under the Share Award Scheme. The total expected unrecognized compensation costs for awards granted amounted to approximately RMB19,834 (US$2,849).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SUBSEQUENT EVENTS (Continued)</w:t>
      </w:r>
    </w:p>
    <w:p>
      <w:pPr>
        <w:spacing w:after="0" w:line="13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February 2020, the Company entered into an arrangement to allow the senior executives to settle its due on demand interest bearing loans (“Settlement Arrangement”). Under the terms of the Settlement Arrangement, the Company will repurchase ordinary shares already issued to the executives for a cashless settlement of the outstanding loan amount including interest and related individual income taxes. The number of ordinary shares to be repurchased is calculated by dividing the outstanding amount on settlement date by US$0.70 per share, which is below the estimated fair value per ordinary share of US$0.76 determined by the Company with the assistance of an independent appraiser. Therefore, there is no compensation expense to be recorded as a result of this repurchase. On February 29, 2020, the Company repurchased 5,475,254 ordinary shares at nil consideration from these senior executives in lieu of full settlement of the outstanding amount.</w:t>
      </w:r>
    </w:p>
    <w:p>
      <w:pPr>
        <w:spacing w:after="0" w:line="17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April 1, 2020, the Group entered into a non-cancelable one-year internet data center service agreement pursuant to which the Group has a contractual minimum purchase commitment amounting to RMB240,000.</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On April 7, 2020, the Company entered into an amended registration rights agreement with all the Preferred Shareholders, pursuant to which Xiaomi Corporation, a Series A Preferred Shareholder (“Xiaomi PS”) is now entitled to the registration rights disclosed in Note 13 (the “Amendment”). The Company assessed whether there was a change in fair value of Xiaomi PS exceeding 10% immediately after the Amendment compared to the fair value of the preferred shares immediately before the Amendment on the modification date. A change in fair value exceeding 10% would result in extinguishment accounting, while a change in fair value not exceeding 10% would be considered non-substantive and subject to modification accounting. With the assistance of an independent third party valuation firm, the Company determined that there was no change in the fair value of Xiaomi PS immediately after the Amendment and before the Amendment on the modification date.</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7, 2020, the Company’s shareholders and Board of Directors approved to increase the Company’s authorized share capital to US$4,000 divided into 4,000,000,000 shares with a par value of US$0.001 each, consisting of (i) 2,282,750,429 ordinary shares (ii) 458,116,000 Series A Preferred Shares, (iii) 153,603,600 Series B Preferred Shares, (iv) 185,665,192 Series C Preferred Shares, (v) 842,738,782 Series D Preferred Shares, and (vi) 77,125,997 Series D+ Preferred Shares, respectively, which will become effective immediately prior to the completion of the Company’s IPO. All of the Preferred Shares issued and outstanding immediately prior to the completion of the IPO will be converted (by way of re-designation and re-classification) into ordinary shares on a one for one basis.</w:t>
      </w:r>
    </w:p>
    <w:p>
      <w:pPr>
        <w:spacing w:after="0" w:line="19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will recognize an one-time share-based compensation expense of approximately RMB88,604 (US$12,727) for share-based awards subject to accelerated vesting upon the completion of an IPO.</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wide spread of the novel coronavirus (COVID-19) in the PRC since January 2020 is a fluid and challenging situation facing all industries. If the COVID-19 outbreak is not effectively controlled in a short period of time, the Group’s business and results of operations could be adversely affected to the extent the COVID-19 outbreak harms the PRC or world economy generally, or otherwise harms the business of the Group’s customers, who may experience reduced business volume, delay procurement of cloud services, or reduce their IT spending, which in turn may have a negative impact on the demands for the Group’s services. Given the uncertainty of the situation, the duration of the business disruption and related financial impact cannot be reasonably estimated at this time.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52" w:lineRule="exact"/>
        <w:rPr>
          <w:sz w:val="20"/>
          <w:szCs w:val="20"/>
          <w:color w:val="auto"/>
        </w:rPr>
      </w:pPr>
    </w:p>
    <w:p>
      <w:pPr>
        <w:ind w:left="120" w:right="3760" w:hanging="4"/>
        <w:spacing w:after="0" w:line="407" w:lineRule="auto"/>
        <w:tabs>
          <w:tab w:leader="none" w:pos="39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THE PARENT COMPANY Condensed Balance Sheets</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7"/>
              </w:rPr>
              <w:t>As at December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9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1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8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9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8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531,313</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540,361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77,618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2,187,950</w:t>
            </w: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56,542</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31,132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4,472</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Amounts due from subsidiaries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1,336,185</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2,974,463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427,255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24,061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3,456</w:t>
            </w:r>
          </w:p>
        </w:tc>
      </w:tr>
      <w:tr>
        <w:trPr>
          <w:trHeight w:val="230"/>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4,111,990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3,570,017</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512,801</w:t>
            </w:r>
          </w:p>
        </w:tc>
        <w:tc>
          <w:tcPr>
            <w:tcW w:w="6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4,111,990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3,570,017</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512,801</w:t>
            </w:r>
          </w:p>
        </w:tc>
        <w:tc>
          <w:tcPr>
            <w:tcW w:w="60" w:type="dxa"/>
            <w:vAlign w:val="bottom"/>
          </w:tcPr>
          <w:p>
            <w:pPr>
              <w:spacing w:after="0"/>
              <w:rPr>
                <w:sz w:val="20"/>
                <w:szCs w:val="20"/>
                <w:color w:val="auto"/>
              </w:rPr>
            </w:pPr>
          </w:p>
        </w:tc>
      </w:tr>
      <w:tr>
        <w:trPr>
          <w:trHeight w:val="198"/>
        </w:trPr>
        <w:tc>
          <w:tcPr>
            <w:tcW w:w="5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MEZZANINE EQUITY AND</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DEFICIT</w:t>
            </w: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5,572</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30,188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Income tax payable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3,456</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2,514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subsidiaries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7"/>
        </w:trPr>
        <w:tc>
          <w:tcPr>
            <w:tcW w:w="5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32,744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4,703</w:t>
            </w:r>
          </w:p>
        </w:tc>
      </w:tr>
      <w:tr>
        <w:trPr>
          <w:trHeight w:val="230"/>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32,744</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4,703</w:t>
            </w:r>
          </w:p>
        </w:tc>
        <w:tc>
          <w:tcPr>
            <w:tcW w:w="6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Mezzanine equity:</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shares (par value of US$0.001 per</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share; 153,603,600 shares authorized, issued and outstanding</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December 31, 2018 and 2019)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337,268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337,268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48,446</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8"/>
              </w:rPr>
              <w:t>Series C redeemable convertible preferred shares (par value of</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w w:val="92"/>
              </w:rPr>
              <w:t>US$0.001 per share; 185,665,192 shares authorized, issued and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outstanding as of December 31, 2018 and 2019)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1,043,147</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1,043,147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149,839</w:t>
            </w:r>
          </w:p>
        </w:tc>
      </w:tr>
      <w:tr>
        <w:trPr>
          <w:trHeight w:val="365"/>
        </w:trPr>
        <w:tc>
          <w:tcPr>
            <w:tcW w:w="5000" w:type="dxa"/>
            <w:vAlign w:val="bottom"/>
          </w:tcPr>
          <w:p>
            <w:pPr>
              <w:ind w:left="4020"/>
              <w:spacing w:after="0"/>
              <w:rPr>
                <w:sz w:val="20"/>
                <w:szCs w:val="20"/>
                <w:color w:val="auto"/>
              </w:rPr>
            </w:pPr>
            <w:r>
              <w:rPr>
                <w:rFonts w:ascii="Arial" w:cs="Arial" w:eastAsia="Arial" w:hAnsi="Arial"/>
                <w:sz w:val="18"/>
                <w:szCs w:val="18"/>
                <w:color w:val="auto"/>
              </w:rPr>
              <w:t>F-57</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80"/>
          </w:cols>
          <w:pgMar w:left="320" w:top="459" w:right="13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 and per share data)</w:t>
      </w:r>
    </w:p>
    <w:p>
      <w:pPr>
        <w:spacing w:after="0" w:line="225" w:lineRule="exact"/>
        <w:rPr>
          <w:sz w:val="20"/>
          <w:szCs w:val="20"/>
          <w:color w:val="auto"/>
        </w:rPr>
      </w:pPr>
    </w:p>
    <w:p>
      <w:pPr>
        <w:ind w:left="120" w:right="2800" w:hanging="4"/>
        <w:spacing w:after="0" w:line="407" w:lineRule="auto"/>
        <w:tabs>
          <w:tab w:leader="none" w:pos="39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THE PARENT COMPANY (Continued) Condensed Balance Sheets (Continued)</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0"/>
              </w:rPr>
              <w:t>As at December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9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080" w:type="dxa"/>
            <w:vAlign w:val="bottom"/>
            <w:gridSpan w:val="2"/>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9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D redeemable convertible preferred shares (par value of</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US$0.001 per share; 842,738,782 shares authorized, issued and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2018 and 2019)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5,965,273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5,965,273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856,858</w:t>
            </w:r>
          </w:p>
        </w:tc>
        <w:tc>
          <w:tcPr>
            <w:tcW w:w="0" w:type="dxa"/>
            <w:vAlign w:val="bottom"/>
          </w:tcPr>
          <w:p>
            <w:pPr>
              <w:spacing w:after="0"/>
              <w:rPr>
                <w:sz w:val="1"/>
                <w:szCs w:val="1"/>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6"/>
              </w:rPr>
              <w:t>Series D+ redeemable convertible preferred shares (par value of</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w w:val="96"/>
              </w:rPr>
              <w:t>US$0.001 per share; nil and 77,125,997 shares authorized, nil</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w w:val="89"/>
              </w:rPr>
              <w:t>and 55,089,998 shares issued and outstanding as of December 31,</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000" w:type="dxa"/>
            <w:vAlign w:val="bottom"/>
          </w:tcPr>
          <w:p>
            <w:pPr>
              <w:ind w:left="180"/>
              <w:spacing w:after="0"/>
              <w:rPr>
                <w:sz w:val="20"/>
                <w:szCs w:val="20"/>
                <w:color w:val="auto"/>
              </w:rPr>
            </w:pPr>
            <w:r>
              <w:rPr>
                <w:rFonts w:ascii="Arial" w:cs="Arial" w:eastAsia="Arial" w:hAnsi="Arial"/>
                <w:sz w:val="18"/>
                <w:szCs w:val="18"/>
                <w:color w:val="auto"/>
              </w:rPr>
              <w:t>2018 and 2019, respectively)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388,844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55,854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7,345,688</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7,734,532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1,110,997</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A convertible preferred shares (par value of US$0.001 per</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share; 458,116,000 shares authorized, issued and outstanding as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December 31, 2018 and 2019)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123,186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123,186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17,695</w:t>
            </w:r>
          </w:p>
        </w:tc>
        <w:tc>
          <w:tcPr>
            <w:tcW w:w="0" w:type="dxa"/>
            <w:vAlign w:val="bottom"/>
          </w:tcPr>
          <w:p>
            <w:pPr>
              <w:spacing w:after="0"/>
              <w:rPr>
                <w:sz w:val="1"/>
                <w:szCs w:val="1"/>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4"/>
              </w:rPr>
              <w:t>Ordinary shares (par value of US$0.001 per share; 1,359,876,426</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and 1,282,750,429 shares authorized, 935,235,476 and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w w:val="99"/>
              </w:rPr>
              <w:t>1,077,086,304 shares issued, 793,430,000 and 894,711,200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shares outstanding as of December 31, 2018 and 2019,</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4,851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5,558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91,746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(3,790,898)</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(4,902,097)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(704,142)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419,750</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484,348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69,572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(3,243,111)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(4,197,259)</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(602,899)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Total liabilities, mezzanine equity and shareholders’ deficit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4,111,990</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3,570,017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512,801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020"/>
              <w:spacing w:after="0"/>
              <w:rPr>
                <w:sz w:val="20"/>
                <w:szCs w:val="20"/>
                <w:color w:val="auto"/>
              </w:rPr>
            </w:pPr>
            <w:r>
              <w:rPr>
                <w:rFonts w:ascii="Arial" w:cs="Arial" w:eastAsia="Arial" w:hAnsi="Arial"/>
                <w:sz w:val="18"/>
                <w:szCs w:val="18"/>
                <w:color w:val="auto"/>
              </w:rPr>
              <w:t>F-58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20" w:top="459" w:right="13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(Amounts in thousands of Renminbi (“RMB”) and US dollars (“US$”) except for number of shares and per share data)</w:t>
      </w:r>
    </w:p>
    <w:p>
      <w:pPr>
        <w:spacing w:after="0" w:line="248" w:lineRule="exact"/>
        <w:rPr>
          <w:sz w:val="20"/>
          <w:szCs w:val="20"/>
          <w:color w:val="auto"/>
        </w:rPr>
      </w:pPr>
    </w:p>
    <w:p>
      <w:pPr>
        <w:ind w:left="120" w:right="2880" w:hanging="4"/>
        <w:spacing w:after="0" w:line="388" w:lineRule="auto"/>
        <w:tabs>
          <w:tab w:leader="none" w:pos="39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THE PARENT COMPANY (Continued) Condensed Statements of Comprehensive Loss</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4"/>
              </w:rPr>
              <w:t>For the year ended 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(6,734)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(795)</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(6,734)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(967)</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112,477</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960" w:type="dxa"/>
            <w:vAlign w:val="bottom"/>
          </w:tcPr>
          <w:p>
            <w:pPr>
              <w:jc w:val="right"/>
              <w:spacing w:after="0"/>
              <w:rPr>
                <w:sz w:val="20"/>
                <w:szCs w:val="20"/>
                <w:color w:val="auto"/>
              </w:rPr>
            </w:pPr>
            <w:r>
              <w:rPr>
                <w:rFonts w:ascii="Arial" w:cs="Arial" w:eastAsia="Arial" w:hAnsi="Arial"/>
                <w:sz w:val="18"/>
                <w:szCs w:val="18"/>
                <w:color w:val="auto"/>
              </w:rPr>
              <w:t>7,145</w:t>
            </w: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(22,652)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(8,174)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Changes in fair value of financial instruments</w:t>
            </w:r>
          </w:p>
        </w:tc>
        <w:tc>
          <w:tcPr>
            <w:tcW w:w="960" w:type="dxa"/>
            <w:vAlign w:val="bottom"/>
          </w:tcPr>
          <w:p>
            <w:pPr>
              <w:jc w:val="right"/>
              <w:spacing w:after="0"/>
              <w:rPr>
                <w:sz w:val="20"/>
                <w:szCs w:val="20"/>
                <w:color w:val="auto"/>
              </w:rPr>
            </w:pPr>
            <w:r>
              <w:rPr>
                <w:rFonts w:ascii="Arial" w:cs="Arial" w:eastAsia="Arial" w:hAnsi="Arial"/>
                <w:sz w:val="18"/>
                <w:szCs w:val="18"/>
                <w:color w:val="auto"/>
              </w:rPr>
              <w:t>3,016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6,404</w:t>
            </w:r>
          </w:p>
        </w:tc>
        <w:tc>
          <w:tcPr>
            <w:tcW w:w="3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subsidiaries and the VIEs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(745,753)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(1,094,583)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(1,145,405)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(164,525)</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(713,181)</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(999,450)</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(1,107,784)</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(159,121)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(714,250)</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(1,006,442)</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(1,111,199)</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(159,612)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Other comprehensive (loss) income, net of tax of nil:</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(89,414)</w:t>
            </w:r>
          </w:p>
        </w:tc>
        <w:tc>
          <w:tcPr>
            <w:tcW w:w="980" w:type="dxa"/>
            <w:vAlign w:val="bottom"/>
          </w:tcPr>
          <w:p>
            <w:pPr>
              <w:jc w:val="right"/>
              <w:spacing w:after="0"/>
              <w:rPr>
                <w:sz w:val="20"/>
                <w:szCs w:val="20"/>
                <w:color w:val="auto"/>
              </w:rPr>
            </w:pPr>
            <w:r>
              <w:rPr>
                <w:rFonts w:ascii="Arial" w:cs="Arial" w:eastAsia="Arial" w:hAnsi="Arial"/>
                <w:sz w:val="18"/>
                <w:szCs w:val="18"/>
                <w:color w:val="auto"/>
              </w:rPr>
              <w:t>401,820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64,598</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(803,664)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(604,622)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(1,046,601)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(150,333)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7"/>
              </w:rPr>
              <w:t>Accretion to redemption value of redeemable convertible</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(605,515)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(742,472)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(49,725)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Comprehensive loss attributable to ordinary</w:t>
            </w: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(1,409,179)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(1,347,094)</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(1,096,326)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(157,476)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8"/>
                <w:szCs w:val="18"/>
                <w:color w:val="auto"/>
                <w:w w:val="91"/>
              </w:rPr>
              <w:t>F-59</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KINGSOFT CLOUD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(Amounts in thousands of Renminbi (“RMB”) and US dollars (“US$”) except for number of shares and per share data)</w:t>
      </w:r>
    </w:p>
    <w:p>
      <w:pPr>
        <w:spacing w:after="0" w:line="237" w:lineRule="exact"/>
        <w:rPr>
          <w:sz w:val="20"/>
          <w:szCs w:val="20"/>
          <w:color w:val="auto"/>
        </w:rPr>
      </w:pPr>
    </w:p>
    <w:p>
      <w:pPr>
        <w:ind w:left="120" w:right="3720" w:hanging="4"/>
        <w:spacing w:after="0" w:line="423" w:lineRule="auto"/>
        <w:tabs>
          <w:tab w:leader="none" w:pos="39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THE PARENT COMPANY (Continued) Condensed Statements of Cash Flows</w:t>
      </w:r>
    </w:p>
    <w:p>
      <w:pPr>
        <w:spacing w:after="0" w:line="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4"/>
              </w:rPr>
              <w:t>For the year ended 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6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8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98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86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(760,078)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(2,396,432)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(2,538,479)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cash (used in) generated from investing activities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(1,529,941)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(62,213)</w:t>
            </w:r>
          </w:p>
        </w:tc>
        <w:tc>
          <w:tcPr>
            <w:tcW w:w="980" w:type="dxa"/>
            <w:vAlign w:val="bottom"/>
          </w:tcPr>
          <w:p>
            <w:pPr>
              <w:jc w:val="right"/>
              <w:spacing w:after="0"/>
              <w:rPr>
                <w:sz w:val="20"/>
                <w:szCs w:val="20"/>
                <w:color w:val="auto"/>
              </w:rPr>
            </w:pPr>
            <w:r>
              <w:rPr>
                <w:rFonts w:ascii="Arial" w:cs="Arial" w:eastAsia="Arial" w:hAnsi="Arial"/>
                <w:sz w:val="18"/>
                <w:szCs w:val="18"/>
                <w:color w:val="auto"/>
              </w:rPr>
              <w:t>2,166,312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1,776,224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2,851,882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Effect of exchange rate changes on cash and cash</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(68,358)</w:t>
            </w:r>
          </w:p>
        </w:tc>
        <w:tc>
          <w:tcPr>
            <w:tcW w:w="980" w:type="dxa"/>
            <w:vAlign w:val="bottom"/>
          </w:tcPr>
          <w:p>
            <w:pPr>
              <w:jc w:val="right"/>
              <w:spacing w:after="0"/>
              <w:rPr>
                <w:sz w:val="20"/>
                <w:szCs w:val="20"/>
                <w:color w:val="auto"/>
              </w:rPr>
            </w:pPr>
            <w:r>
              <w:rPr>
                <w:rFonts w:ascii="Arial" w:cs="Arial" w:eastAsia="Arial" w:hAnsi="Arial"/>
                <w:sz w:val="18"/>
                <w:szCs w:val="18"/>
                <w:color w:val="auto"/>
              </w:rPr>
              <w:t>136,227</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10,921</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(decrease) increase in cash and cash equivalents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(582,153)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529,464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584,002</w:t>
            </w:r>
          </w:p>
        </w:tc>
        <w:tc>
          <w:tcPr>
            <w:tcW w:w="3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3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531,313</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1,849</w:t>
            </w:r>
          </w:p>
        </w:tc>
        <w:tc>
          <w:tcPr>
            <w:tcW w:w="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531,313</w:t>
            </w:r>
          </w:p>
        </w:tc>
        <w:tc>
          <w:tcPr>
            <w:tcW w:w="3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540,361</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For the presentation of the parent company only condensed financial information, the Company records its investments in subsidiaries and the VIEs under the equity method of accounting as prescribed in ASC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Such investments are presented on the condensed balance sheets as “investments in subsidiaries” and the subsidiaries’ and the VIEs’ losses as “share of losses of subsidiaries and the VIEs” on the condensed statements of comprehensive loss. Under the equity method of accounting, the Company adjusted the carrying amount of “investments in subsidiaries” for its share of the subsidiaries’ and the VIEs’ cumulative losses until the investment balance reaches zero and did not provide for additional losses unless the Company has guaranteed obligations of the subsidiaries’ and the VIEs’ or is otherwise committed to provide further financial support.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subsidiaries did not pay any dividends to the Company for the periods presented.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have significant commitments or long-term obligations as of the period end.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parent company only financial statements should be read in conjunction with the Company’s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that any such provision may be held by the Cayman Islands courts to be contrary to public policy, such as to provide indemnification against fraud or dishonesty. Under our post-offering memorandum and articles of association, which will become effective immediately prior to the completion of this offering, to the fullest extent permissible under Cayman Islands law every director and officer of our company shall be indemnified against all actions, proceedings, costs, charges, expenses, losses, damages or liabilities incurred or sustained by him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7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Pursuant to the form of indemnification agreements previously filed as Exhibit 10.3 to this Registration Statement, we will agree to indemnify our directors and executive officers against certain liabilities and expenses that they incur in connection with claims made by reason of their being a director or officer of our company.</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Underwriting Agreement, the form of which is filed as Exhibit 1.1 to this Registration Statement, will also provide for indemnification of us and our officers and directors.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During the past three years, we have issued the following securities (including options to acquire our ordinary shares) without registering the securities under the Securities Act. We believe that each of the following issuances was exempt from registration under the Securities Act in reliance on Regulation S under the Securities Act regarding sales by an issuer in offshore transactions, pursuant to Section 4(a)(2) of the Securities Act regarding transactions not involving a public offering and/or Rule 701 of the Securities Act. None of the transactions involved an underwriter.</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Purchaser</w:t>
            </w:r>
          </w:p>
        </w:tc>
        <w:tc>
          <w:tcPr>
            <w:tcW w:w="25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Date of Issuance</w:t>
            </w:r>
          </w:p>
        </w:tc>
        <w:tc>
          <w:tcPr>
            <w:tcW w:w="328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Number of Securities</w:t>
            </w:r>
          </w:p>
        </w:tc>
        <w:tc>
          <w:tcPr>
            <w:tcW w:w="25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Consideration</w:t>
            </w:r>
          </w:p>
        </w:tc>
      </w:tr>
      <w:tr>
        <w:trPr>
          <w:trHeight w:val="195"/>
        </w:trPr>
        <w:tc>
          <w:tcPr>
            <w:tcW w:w="272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Ordinary Shares</w:t>
            </w:r>
          </w:p>
        </w:tc>
        <w:tc>
          <w:tcPr>
            <w:tcW w:w="2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TMF Trust (HK) Limited*</w:t>
            </w:r>
          </w:p>
        </w:tc>
        <w:tc>
          <w:tcPr>
            <w:tcW w:w="2500" w:type="dxa"/>
            <w:vAlign w:val="bottom"/>
          </w:tcPr>
          <w:p>
            <w:pPr>
              <w:ind w:left="580"/>
              <w:spacing w:after="0"/>
              <w:rPr>
                <w:sz w:val="20"/>
                <w:szCs w:val="20"/>
                <w:color w:val="auto"/>
              </w:rPr>
            </w:pPr>
            <w:r>
              <w:rPr>
                <w:rFonts w:ascii="Arial" w:cs="Arial" w:eastAsia="Arial" w:hAnsi="Arial"/>
                <w:sz w:val="18"/>
                <w:szCs w:val="18"/>
                <w:color w:val="auto"/>
              </w:rPr>
              <w:t>December 7, 2018</w:t>
            </w:r>
          </w:p>
        </w:tc>
        <w:tc>
          <w:tcPr>
            <w:tcW w:w="3280" w:type="dxa"/>
            <w:vAlign w:val="bottom"/>
          </w:tcPr>
          <w:p>
            <w:pPr>
              <w:ind w:left="820"/>
              <w:spacing w:after="0"/>
              <w:rPr>
                <w:sz w:val="20"/>
                <w:szCs w:val="20"/>
                <w:color w:val="auto"/>
              </w:rPr>
            </w:pPr>
            <w:r>
              <w:rPr>
                <w:rFonts w:ascii="Arial" w:cs="Arial" w:eastAsia="Arial" w:hAnsi="Arial"/>
                <w:sz w:val="18"/>
                <w:szCs w:val="18"/>
                <w:color w:val="auto"/>
              </w:rPr>
              <w:t>62,280,000 ordinary shares</w:t>
            </w:r>
          </w:p>
        </w:tc>
        <w:tc>
          <w:tcPr>
            <w:tcW w:w="2520" w:type="dxa"/>
            <w:vAlign w:val="bottom"/>
          </w:tcPr>
          <w:p>
            <w:pPr>
              <w:ind w:left="200"/>
              <w:spacing w:after="0"/>
              <w:rPr>
                <w:sz w:val="20"/>
                <w:szCs w:val="20"/>
                <w:color w:val="auto"/>
              </w:rPr>
            </w:pPr>
            <w:r>
              <w:rPr>
                <w:rFonts w:ascii="Arial" w:cs="Arial" w:eastAsia="Arial" w:hAnsi="Arial"/>
                <w:sz w:val="18"/>
                <w:szCs w:val="18"/>
                <w:color w:val="auto"/>
              </w:rPr>
              <w:t>Nominal exercise price</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TMF Trust (HK) Limited*</w:t>
            </w:r>
          </w:p>
        </w:tc>
        <w:tc>
          <w:tcPr>
            <w:tcW w:w="2500" w:type="dxa"/>
            <w:vAlign w:val="bottom"/>
          </w:tcPr>
          <w:p>
            <w:pPr>
              <w:ind w:left="580"/>
              <w:spacing w:after="0"/>
              <w:rPr>
                <w:sz w:val="20"/>
                <w:szCs w:val="20"/>
                <w:color w:val="auto"/>
              </w:rPr>
            </w:pPr>
            <w:r>
              <w:rPr>
                <w:rFonts w:ascii="Arial" w:cs="Arial" w:eastAsia="Arial" w:hAnsi="Arial"/>
                <w:sz w:val="18"/>
                <w:szCs w:val="18"/>
                <w:color w:val="auto"/>
              </w:rPr>
              <w:t>November 6, 2019</w:t>
            </w:r>
          </w:p>
        </w:tc>
        <w:tc>
          <w:tcPr>
            <w:tcW w:w="3280" w:type="dxa"/>
            <w:vAlign w:val="bottom"/>
          </w:tcPr>
          <w:p>
            <w:pPr>
              <w:ind w:left="820"/>
              <w:spacing w:after="0"/>
              <w:rPr>
                <w:sz w:val="20"/>
                <w:szCs w:val="20"/>
                <w:color w:val="auto"/>
              </w:rPr>
            </w:pPr>
            <w:r>
              <w:rPr>
                <w:rFonts w:ascii="Arial" w:cs="Arial" w:eastAsia="Arial" w:hAnsi="Arial"/>
                <w:sz w:val="18"/>
                <w:szCs w:val="18"/>
                <w:color w:val="auto"/>
              </w:rPr>
              <w:t>141,850,828 ordinary shares</w:t>
            </w:r>
          </w:p>
        </w:tc>
        <w:tc>
          <w:tcPr>
            <w:tcW w:w="2520" w:type="dxa"/>
            <w:vAlign w:val="bottom"/>
          </w:tcPr>
          <w:p>
            <w:pPr>
              <w:ind w:left="200"/>
              <w:spacing w:after="0"/>
              <w:rPr>
                <w:sz w:val="20"/>
                <w:szCs w:val="20"/>
                <w:color w:val="auto"/>
              </w:rPr>
            </w:pPr>
            <w:r>
              <w:rPr>
                <w:rFonts w:ascii="Arial" w:cs="Arial" w:eastAsia="Arial" w:hAnsi="Arial"/>
                <w:sz w:val="18"/>
                <w:szCs w:val="18"/>
                <w:color w:val="auto"/>
              </w:rPr>
              <w:t>Nominal exercise price</w:t>
            </w:r>
          </w:p>
        </w:tc>
      </w:tr>
      <w:tr>
        <w:trPr>
          <w:trHeight w:val="310"/>
        </w:trPr>
        <w:tc>
          <w:tcPr>
            <w:tcW w:w="2720" w:type="dxa"/>
            <w:vAlign w:val="bottom"/>
          </w:tcPr>
          <w:p>
            <w:pPr>
              <w:spacing w:after="0"/>
              <w:rPr>
                <w:sz w:val="20"/>
                <w:szCs w:val="20"/>
                <w:color w:val="auto"/>
              </w:rPr>
            </w:pPr>
            <w:r>
              <w:rPr>
                <w:rFonts w:ascii="Arial" w:cs="Arial" w:eastAsia="Arial" w:hAnsi="Arial"/>
                <w:sz w:val="18"/>
                <w:szCs w:val="18"/>
                <w:b w:val="1"/>
                <w:bCs w:val="1"/>
                <w:i w:val="1"/>
                <w:iCs w:val="1"/>
                <w:color w:val="auto"/>
              </w:rPr>
              <w:t>Preferred Shares</w:t>
            </w:r>
          </w:p>
        </w:tc>
        <w:tc>
          <w:tcPr>
            <w:tcW w:w="2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Kingsoft Corporation Limited</w:t>
            </w:r>
          </w:p>
        </w:tc>
        <w:tc>
          <w:tcPr>
            <w:tcW w:w="2500" w:type="dxa"/>
            <w:vAlign w:val="bottom"/>
          </w:tcPr>
          <w:p>
            <w:pPr>
              <w:ind w:left="580"/>
              <w:spacing w:after="0"/>
              <w:rPr>
                <w:sz w:val="20"/>
                <w:szCs w:val="20"/>
                <w:color w:val="auto"/>
              </w:rPr>
            </w:pPr>
            <w:r>
              <w:rPr>
                <w:rFonts w:ascii="Arial" w:cs="Arial" w:eastAsia="Arial" w:hAnsi="Arial"/>
                <w:sz w:val="18"/>
                <w:szCs w:val="18"/>
                <w:color w:val="auto"/>
              </w:rPr>
              <w:t>September 21, 2017</w:t>
            </w:r>
          </w:p>
        </w:tc>
        <w:tc>
          <w:tcPr>
            <w:tcW w:w="3280" w:type="dxa"/>
            <w:vAlign w:val="bottom"/>
          </w:tcPr>
          <w:p>
            <w:pPr>
              <w:ind w:left="820"/>
              <w:spacing w:after="0"/>
              <w:rPr>
                <w:sz w:val="20"/>
                <w:szCs w:val="20"/>
                <w:color w:val="auto"/>
              </w:rPr>
            </w:pPr>
            <w:r>
              <w:rPr>
                <w:rFonts w:ascii="Arial" w:cs="Arial" w:eastAsia="Arial" w:hAnsi="Arial"/>
                <w:sz w:val="18"/>
                <w:szCs w:val="18"/>
                <w:color w:val="auto"/>
                <w:w w:val="99"/>
              </w:rPr>
              <w:t>58,922,728 Series D Preferred</w:t>
            </w:r>
          </w:p>
        </w:tc>
        <w:tc>
          <w:tcPr>
            <w:tcW w:w="2520" w:type="dxa"/>
            <w:vAlign w:val="bottom"/>
          </w:tcPr>
          <w:p>
            <w:pPr>
              <w:ind w:left="200"/>
              <w:spacing w:after="0"/>
              <w:rPr>
                <w:sz w:val="20"/>
                <w:szCs w:val="20"/>
                <w:color w:val="auto"/>
              </w:rPr>
            </w:pPr>
            <w:r>
              <w:rPr>
                <w:rFonts w:ascii="Arial" w:cs="Arial" w:eastAsia="Arial" w:hAnsi="Arial"/>
                <w:sz w:val="18"/>
                <w:szCs w:val="18"/>
                <w:color w:val="auto"/>
              </w:rPr>
              <w:t>US$50,000,000</w:t>
            </w:r>
          </w:p>
        </w:tc>
      </w:tr>
      <w:tr>
        <w:trPr>
          <w:trHeight w:val="230"/>
        </w:trPr>
        <w:tc>
          <w:tcPr>
            <w:tcW w:w="27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METAWIT CAPITAL L.P.</w:t>
            </w:r>
          </w:p>
        </w:tc>
        <w:tc>
          <w:tcPr>
            <w:tcW w:w="2500" w:type="dxa"/>
            <w:vAlign w:val="bottom"/>
          </w:tcPr>
          <w:p>
            <w:pPr>
              <w:ind w:left="580"/>
              <w:spacing w:after="0"/>
              <w:rPr>
                <w:sz w:val="20"/>
                <w:szCs w:val="20"/>
                <w:color w:val="auto"/>
              </w:rPr>
            </w:pPr>
            <w:r>
              <w:rPr>
                <w:rFonts w:ascii="Arial" w:cs="Arial" w:eastAsia="Arial" w:hAnsi="Arial"/>
                <w:sz w:val="18"/>
                <w:szCs w:val="18"/>
                <w:color w:val="auto"/>
              </w:rPr>
              <w:t>September 21, 2017</w:t>
            </w:r>
          </w:p>
        </w:tc>
        <w:tc>
          <w:tcPr>
            <w:tcW w:w="3280" w:type="dxa"/>
            <w:vAlign w:val="bottom"/>
          </w:tcPr>
          <w:p>
            <w:pPr>
              <w:ind w:left="820"/>
              <w:spacing w:after="0"/>
              <w:rPr>
                <w:sz w:val="20"/>
                <w:szCs w:val="20"/>
                <w:color w:val="auto"/>
              </w:rPr>
            </w:pPr>
            <w:r>
              <w:rPr>
                <w:rFonts w:ascii="Arial" w:cs="Arial" w:eastAsia="Arial" w:hAnsi="Arial"/>
                <w:sz w:val="18"/>
                <w:szCs w:val="18"/>
                <w:color w:val="auto"/>
                <w:w w:val="99"/>
              </w:rPr>
              <w:t>58,922,728 Series D Preferred</w:t>
            </w:r>
          </w:p>
        </w:tc>
        <w:tc>
          <w:tcPr>
            <w:tcW w:w="2520" w:type="dxa"/>
            <w:vAlign w:val="bottom"/>
          </w:tcPr>
          <w:p>
            <w:pPr>
              <w:ind w:left="200"/>
              <w:spacing w:after="0"/>
              <w:rPr>
                <w:sz w:val="20"/>
                <w:szCs w:val="20"/>
                <w:color w:val="auto"/>
              </w:rPr>
            </w:pPr>
            <w:r>
              <w:rPr>
                <w:rFonts w:ascii="Arial" w:cs="Arial" w:eastAsia="Arial" w:hAnsi="Arial"/>
                <w:sz w:val="18"/>
                <w:szCs w:val="18"/>
                <w:color w:val="auto"/>
              </w:rPr>
              <w:t>US$50,000,000</w:t>
            </w:r>
          </w:p>
        </w:tc>
      </w:tr>
      <w:tr>
        <w:trPr>
          <w:trHeight w:val="230"/>
        </w:trPr>
        <w:tc>
          <w:tcPr>
            <w:tcW w:w="27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Kingsoft Corporation Limited</w:t>
            </w:r>
          </w:p>
        </w:tc>
        <w:tc>
          <w:tcPr>
            <w:tcW w:w="2500" w:type="dxa"/>
            <w:vAlign w:val="bottom"/>
          </w:tcPr>
          <w:p>
            <w:pPr>
              <w:ind w:left="580"/>
              <w:spacing w:after="0"/>
              <w:rPr>
                <w:sz w:val="20"/>
                <w:szCs w:val="20"/>
                <w:color w:val="auto"/>
              </w:rPr>
            </w:pPr>
            <w:r>
              <w:rPr>
                <w:rFonts w:ascii="Arial" w:cs="Arial" w:eastAsia="Arial" w:hAnsi="Arial"/>
                <w:sz w:val="18"/>
                <w:szCs w:val="18"/>
                <w:color w:val="auto"/>
              </w:rPr>
              <w:t>December 6, 2017</w:t>
            </w:r>
          </w:p>
        </w:tc>
        <w:tc>
          <w:tcPr>
            <w:tcW w:w="3280" w:type="dxa"/>
            <w:vAlign w:val="bottom"/>
          </w:tcPr>
          <w:p>
            <w:pPr>
              <w:ind w:left="820"/>
              <w:spacing w:after="0"/>
              <w:rPr>
                <w:sz w:val="20"/>
                <w:szCs w:val="20"/>
                <w:color w:val="auto"/>
              </w:rPr>
            </w:pPr>
            <w:r>
              <w:rPr>
                <w:rFonts w:ascii="Arial" w:cs="Arial" w:eastAsia="Arial" w:hAnsi="Arial"/>
                <w:sz w:val="18"/>
                <w:szCs w:val="18"/>
                <w:color w:val="auto"/>
                <w:w w:val="95"/>
              </w:rPr>
              <w:t>117,845,456 Series D Preferred</w:t>
            </w:r>
          </w:p>
        </w:tc>
        <w:tc>
          <w:tcPr>
            <w:tcW w:w="2520" w:type="dxa"/>
            <w:vAlign w:val="bottom"/>
          </w:tcPr>
          <w:p>
            <w:pPr>
              <w:ind w:left="200"/>
              <w:spacing w:after="0"/>
              <w:rPr>
                <w:sz w:val="20"/>
                <w:szCs w:val="20"/>
                <w:color w:val="auto"/>
              </w:rPr>
            </w:pPr>
            <w:r>
              <w:rPr>
                <w:rFonts w:ascii="Arial" w:cs="Arial" w:eastAsia="Arial" w:hAnsi="Arial"/>
                <w:sz w:val="18"/>
                <w:szCs w:val="18"/>
                <w:color w:val="auto"/>
              </w:rPr>
              <w:t>US$100,000,000</w:t>
            </w:r>
          </w:p>
        </w:tc>
      </w:tr>
      <w:tr>
        <w:trPr>
          <w:trHeight w:val="230"/>
        </w:trPr>
        <w:tc>
          <w:tcPr>
            <w:tcW w:w="27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20"/>
                <w:szCs w:val="20"/>
                <w:color w:val="auto"/>
              </w:rPr>
            </w:pPr>
          </w:p>
        </w:tc>
      </w:tr>
      <w:tr>
        <w:trPr>
          <w:trHeight w:val="365"/>
        </w:trPr>
        <w:tc>
          <w:tcPr>
            <w:tcW w:w="2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II-1</w:t>
            </w:r>
          </w:p>
        </w:tc>
        <w:tc>
          <w:tcPr>
            <w:tcW w:w="25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80" w:type="dxa"/>
            <w:vAlign w:val="bottom"/>
            <w:gridSpan w:val="2"/>
          </w:tcPr>
          <w:p>
            <w:pPr>
              <w:ind w:left="1220"/>
              <w:spacing w:after="0"/>
              <w:rPr>
                <w:sz w:val="20"/>
                <w:szCs w:val="20"/>
                <w:color w:val="auto"/>
              </w:rPr>
            </w:pPr>
            <w:r>
              <w:rPr>
                <w:rFonts w:ascii="Arial" w:cs="Arial" w:eastAsia="Arial" w:hAnsi="Arial"/>
                <w:sz w:val="14"/>
                <w:szCs w:val="14"/>
                <w:b w:val="1"/>
                <w:bCs w:val="1"/>
                <w:color w:val="auto"/>
              </w:rPr>
              <w:t>Purchaser</w:t>
            </w:r>
          </w:p>
        </w:tc>
        <w:tc>
          <w:tcPr>
            <w:tcW w:w="2540" w:type="dxa"/>
            <w:vAlign w:val="bottom"/>
          </w:tcPr>
          <w:p>
            <w:pPr>
              <w:ind w:left="760"/>
              <w:spacing w:after="0"/>
              <w:rPr>
                <w:sz w:val="20"/>
                <w:szCs w:val="20"/>
                <w:color w:val="auto"/>
              </w:rPr>
            </w:pPr>
            <w:r>
              <w:rPr>
                <w:rFonts w:ascii="Arial" w:cs="Arial" w:eastAsia="Arial" w:hAnsi="Arial"/>
                <w:sz w:val="14"/>
                <w:szCs w:val="14"/>
                <w:b w:val="1"/>
                <w:bCs w:val="1"/>
                <w:color w:val="auto"/>
              </w:rPr>
              <w:t>Date of Issuance</w:t>
            </w:r>
          </w:p>
        </w:tc>
        <w:tc>
          <w:tcPr>
            <w:tcW w:w="220" w:type="dxa"/>
            <w:vAlign w:val="bottom"/>
          </w:tcPr>
          <w:p>
            <w:pPr>
              <w:spacing w:after="0"/>
              <w:rPr>
                <w:sz w:val="16"/>
                <w:szCs w:val="16"/>
                <w:color w:val="auto"/>
              </w:rPr>
            </w:pPr>
          </w:p>
        </w:tc>
        <w:tc>
          <w:tcPr>
            <w:tcW w:w="2520" w:type="dxa"/>
            <w:vAlign w:val="bottom"/>
          </w:tcPr>
          <w:p>
            <w:pPr>
              <w:ind w:left="600"/>
              <w:spacing w:after="0"/>
              <w:rPr>
                <w:sz w:val="20"/>
                <w:szCs w:val="20"/>
                <w:color w:val="auto"/>
              </w:rPr>
            </w:pPr>
            <w:r>
              <w:rPr>
                <w:rFonts w:ascii="Arial" w:cs="Arial" w:eastAsia="Arial" w:hAnsi="Arial"/>
                <w:sz w:val="14"/>
                <w:szCs w:val="14"/>
                <w:b w:val="1"/>
                <w:bCs w:val="1"/>
                <w:color w:val="auto"/>
              </w:rPr>
              <w:t>Number of Securities</w:t>
            </w:r>
          </w:p>
        </w:tc>
      </w:tr>
      <w:tr>
        <w:trPr>
          <w:trHeight w:val="195"/>
        </w:trPr>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New Cloud Ltd.</w:t>
            </w:r>
          </w:p>
        </w:tc>
        <w:tc>
          <w:tcPr>
            <w:tcW w:w="200" w:type="dxa"/>
            <w:vAlign w:val="bottom"/>
          </w:tcPr>
          <w:p>
            <w:pPr>
              <w:spacing w:after="0"/>
              <w:rPr>
                <w:sz w:val="16"/>
                <w:szCs w:val="16"/>
                <w:color w:val="auto"/>
              </w:rPr>
            </w:pPr>
          </w:p>
        </w:tc>
        <w:tc>
          <w:tcPr>
            <w:tcW w:w="2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December 6, 2017</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81,313,365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Kingsoft Corporation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129,630,002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METAWIT CAPITAL L.P.</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58,922,728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Shunwei Growth III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11,784,546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Precious Steed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28,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58,922,728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Kingsoft Corporation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March 29,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114,971,205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FutureX AI Opportunity Fund LP (acting</w:t>
            </w:r>
          </w:p>
        </w:tc>
        <w:tc>
          <w:tcPr>
            <w:tcW w:w="2540" w:type="dxa"/>
            <w:vAlign w:val="bottom"/>
          </w:tcPr>
          <w:p>
            <w:pPr>
              <w:ind w:left="20"/>
              <w:spacing w:after="0"/>
              <w:rPr>
                <w:sz w:val="20"/>
                <w:szCs w:val="20"/>
                <w:color w:val="auto"/>
              </w:rPr>
            </w:pPr>
            <w:r>
              <w:rPr>
                <w:rFonts w:ascii="Arial" w:cs="Arial" w:eastAsia="Arial" w:hAnsi="Arial"/>
                <w:sz w:val="18"/>
                <w:szCs w:val="18"/>
                <w:color w:val="auto"/>
              </w:rPr>
              <w:t>March 29,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57,485,603 Series D Preferred</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w w:val="99"/>
              </w:rPr>
              <w:t>through FutureX Innovation Limited as its</w:t>
            </w: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FutureX Innovation SPC (acting for and</w:t>
            </w:r>
          </w:p>
        </w:tc>
        <w:tc>
          <w:tcPr>
            <w:tcW w:w="2540" w:type="dxa"/>
            <w:vAlign w:val="bottom"/>
          </w:tcPr>
          <w:p>
            <w:pPr>
              <w:ind w:left="20"/>
              <w:spacing w:after="0"/>
              <w:rPr>
                <w:sz w:val="20"/>
                <w:szCs w:val="20"/>
                <w:color w:val="auto"/>
              </w:rPr>
            </w:pPr>
            <w:r>
              <w:rPr>
                <w:rFonts w:ascii="Arial" w:cs="Arial" w:eastAsia="Arial" w:hAnsi="Arial"/>
                <w:sz w:val="18"/>
                <w:szCs w:val="18"/>
                <w:color w:val="auto"/>
              </w:rPr>
              <w:t>March 29,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57,485,602 Series D Preferred</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on behalf of New Technology Fund I SP</w:t>
            </w: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as one of its segregated portfolios)</w:t>
            </w: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New Cloud Ltd.</w:t>
            </w:r>
          </w:p>
        </w:tc>
        <w:tc>
          <w:tcPr>
            <w:tcW w:w="2540" w:type="dxa"/>
            <w:vAlign w:val="bottom"/>
          </w:tcPr>
          <w:p>
            <w:pPr>
              <w:ind w:left="20"/>
              <w:spacing w:after="0"/>
              <w:rPr>
                <w:sz w:val="20"/>
                <w:szCs w:val="20"/>
                <w:color w:val="auto"/>
              </w:rPr>
            </w:pPr>
            <w:r>
              <w:rPr>
                <w:rFonts w:ascii="Arial" w:cs="Arial" w:eastAsia="Arial" w:hAnsi="Arial"/>
                <w:sz w:val="18"/>
                <w:szCs w:val="18"/>
                <w:color w:val="auto"/>
              </w:rPr>
              <w:t>May 25, 2018</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36,532,091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China Internet Investment Fund</w:t>
            </w:r>
          </w:p>
        </w:tc>
        <w:tc>
          <w:tcPr>
            <w:tcW w:w="2540" w:type="dxa"/>
            <w:vAlign w:val="bottom"/>
          </w:tcPr>
          <w:p>
            <w:pPr>
              <w:ind w:left="20"/>
              <w:spacing w:after="0"/>
              <w:rPr>
                <w:sz w:val="20"/>
                <w:szCs w:val="20"/>
                <w:color w:val="auto"/>
              </w:rPr>
            </w:pPr>
            <w:r>
              <w:rPr>
                <w:rFonts w:ascii="Arial" w:cs="Arial" w:eastAsia="Arial" w:hAnsi="Arial"/>
                <w:sz w:val="18"/>
                <w:szCs w:val="18"/>
                <w:color w:val="auto"/>
              </w:rPr>
              <w:t>December 27, 2019</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55,089,998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Design Time Limited</w:t>
            </w:r>
          </w:p>
        </w:tc>
        <w:tc>
          <w:tcPr>
            <w:tcW w:w="2540" w:type="dxa"/>
            <w:vAlign w:val="bottom"/>
          </w:tcPr>
          <w:p>
            <w:pPr>
              <w:ind w:left="20"/>
              <w:spacing w:after="0"/>
              <w:rPr>
                <w:sz w:val="20"/>
                <w:szCs w:val="20"/>
                <w:color w:val="auto"/>
              </w:rPr>
            </w:pPr>
            <w:r>
              <w:rPr>
                <w:rFonts w:ascii="Arial" w:cs="Arial" w:eastAsia="Arial" w:hAnsi="Arial"/>
                <w:sz w:val="18"/>
                <w:szCs w:val="18"/>
                <w:color w:val="auto"/>
              </w:rPr>
              <w:t>December 27, 2019</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22,035,999 Series D+ preferred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shares</w:t>
            </w: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Options and Awards</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Certain employees and other individuals</w:t>
            </w:r>
          </w:p>
        </w:tc>
        <w:tc>
          <w:tcPr>
            <w:tcW w:w="2540" w:type="dxa"/>
            <w:vAlign w:val="bottom"/>
          </w:tcPr>
          <w:p>
            <w:pPr>
              <w:ind w:left="20"/>
              <w:spacing w:after="0"/>
              <w:rPr>
                <w:sz w:val="20"/>
                <w:szCs w:val="20"/>
                <w:color w:val="auto"/>
              </w:rPr>
            </w:pPr>
            <w:r>
              <w:rPr>
                <w:rFonts w:ascii="Arial" w:cs="Arial" w:eastAsia="Arial" w:hAnsi="Arial"/>
                <w:sz w:val="18"/>
                <w:szCs w:val="18"/>
                <w:color w:val="auto"/>
                <w:w w:val="93"/>
              </w:rPr>
              <w:t>Between May 4, 2017 and May 4,</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6"/>
              </w:rPr>
              <w:t>Outstanding options to purchase</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2020</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72,878,000 ordinary shares and</w:t>
            </w:r>
          </w:p>
        </w:tc>
      </w:t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5"/>
              </w:rPr>
              <w:t>130,092,000 outstanding 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465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US$69,000,000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US$110,000,000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US$50,000,000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US$100,000,000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US$50,000,000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US$100,000,000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US$50,000,000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US$50,000,000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US$31,000,000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US$50,000,000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US$20,000,000</w:t>
      </w:r>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Past and future services provided by these individuals to us</w:t>
      </w:r>
    </w:p>
    <w:p>
      <w:pPr>
        <w:spacing w:after="0" w:line="152" w:lineRule="exact"/>
        <w:rPr>
          <w:sz w:val="20"/>
          <w:szCs w:val="20"/>
          <w:color w:val="auto"/>
        </w:rPr>
      </w:pPr>
    </w:p>
    <w:p>
      <w:pPr>
        <w:sectPr>
          <w:pgSz w:w="11900" w:h="16838" w:orient="portrait"/>
          <w:cols w:equalWidth="0" w:num="2">
            <w:col w:w="8680" w:space="140"/>
            <w:col w:w="23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4"/>
          <w:szCs w:val="14"/>
          <w:color w:val="auto"/>
        </w:rPr>
        <w:t>Note:</w:t>
      </w:r>
    </w:p>
    <w:p>
      <w:pPr>
        <w:ind w:left="540" w:hanging="424"/>
        <w:spacing w:after="0"/>
        <w:tabs>
          <w:tab w:leader="none" w:pos="5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Represents 240,451,179 ordinary shares issued to TMF Trust (HK) Limited, as trustee of the share awards, in relation to the share awards under our share incentive plans.</w:t>
      </w:r>
    </w:p>
    <w:p>
      <w:pPr>
        <w:spacing w:after="0" w:line="20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Pursuant to Practice Note 15 under the Rules Governing the Listing of Securities on the Stock Exchange of Hong Kong Limited, in connection with this offering, Kingsoft Group intends to make available to its shareholders an “assured entitlement” to a certain portion of our ordinary shares. As our ordinary shares are not expected to be listed on any stock exchange, Kingsoft Group intends to effect the Assured Entitlement Distribution by providing to its shareholders a “distribution in specie.” The distribution will be made without any consideration being paid by Kingsoft Group’s shareholders. Kingsoft Group’s shareholders who are entitled to fractional ADSs, who elect to receive cash in lieu of ADSs, who are located in the United States or are U.S. persons, or are otherwise ineligible holders, will only receive cash in the Assured Entitlement Distribution. Kingsoft Group currently intends to provide an assured entitlement with an aggregate of approximately 0.35% to 0.50% of the total issued shares of us upon completion of this offering. The Assured Entitlement Distribution will only be made if this offering is completed. The distribution in specie of ADSs by Kingsoft Group are not part of this offering.</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type w:val="continuous"/>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believe that the Assured Entitlement Distribution described above is exempt from registration pursuant to Section 4(2) of the Securities Act, regarding transactions not involving a public offering or in reliance on Regulation S under the Securities Act regarding sales by an issuer in offshore transactions.</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Exhibit Index for a complete list of all exhibits filed as part of this registration, which Exhibit Index is incorporated herein by reference.</w:t>
      </w:r>
    </w:p>
    <w:p>
      <w:pPr>
        <w:spacing w:after="0" w:line="129" w:lineRule="exact"/>
        <w:rPr>
          <w:sz w:val="20"/>
          <w:szCs w:val="20"/>
          <w:color w:val="auto"/>
        </w:rPr>
      </w:pPr>
    </w:p>
    <w:p>
      <w:pPr>
        <w:ind w:left="940" w:hanging="384"/>
        <w:spacing w:after="0"/>
        <w:tabs>
          <w:tab w:leader="none" w:pos="9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and the notes thereto.</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120" w:right="680" w:firstLine="436"/>
        <w:spacing w:after="0" w:line="342" w:lineRule="auto"/>
        <w:tabs>
          <w:tab w:leader="none" w:pos="93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3" w:lineRule="exact"/>
        <w:rPr>
          <w:rFonts w:ascii="Arial" w:cs="Arial" w:eastAsia="Arial" w:hAnsi="Arial"/>
          <w:sz w:val="16"/>
          <w:szCs w:val="16"/>
          <w:color w:val="auto"/>
        </w:rPr>
      </w:pPr>
    </w:p>
    <w:p>
      <w:pPr>
        <w:ind w:left="120" w:firstLine="436"/>
        <w:spacing w:after="0" w:line="271" w:lineRule="auto"/>
        <w:tabs>
          <w:tab w:leader="none" w:pos="95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940" w:hanging="384"/>
        <w:spacing w:after="0"/>
        <w:tabs>
          <w:tab w:leader="none" w:pos="9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jc w:val="both"/>
        <w:ind w:left="1100" w:right="20" w:firstLine="408"/>
        <w:spacing w:after="0" w:line="259" w:lineRule="auto"/>
        <w:tabs>
          <w:tab w:leader="none" w:pos="189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78" w:lineRule="exact"/>
        <w:rPr>
          <w:rFonts w:ascii="Arial" w:cs="Arial" w:eastAsia="Arial" w:hAnsi="Arial"/>
          <w:sz w:val="18"/>
          <w:szCs w:val="18"/>
          <w:color w:val="auto"/>
        </w:rPr>
      </w:pPr>
    </w:p>
    <w:p>
      <w:pPr>
        <w:jc w:val="both"/>
        <w:ind w:left="1100" w:right="280" w:firstLine="408"/>
        <w:spacing w:after="0" w:line="263" w:lineRule="auto"/>
        <w:tabs>
          <w:tab w:leader="none" w:pos="189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20" w:type="dxa"/>
            <w:vAlign w:val="bottom"/>
            <w:gridSpan w:val="16"/>
          </w:tcPr>
          <w:p>
            <w:pPr>
              <w:jc w:val="center"/>
              <w:ind w:right="3180"/>
              <w:spacing w:after="0"/>
              <w:rPr>
                <w:sz w:val="20"/>
                <w:szCs w:val="20"/>
                <w:color w:val="auto"/>
              </w:rPr>
            </w:pPr>
            <w:r>
              <w:rPr>
                <w:rFonts w:ascii="Arial" w:cs="Arial" w:eastAsia="Arial" w:hAnsi="Arial"/>
                <w:sz w:val="18"/>
                <w:szCs w:val="18"/>
                <w:b w:val="1"/>
                <w:bCs w:val="1"/>
                <w:color w:val="auto"/>
              </w:rPr>
              <w:t>KINGSOFT CLOUD HOLDINGS LIMITED</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20" w:type="dxa"/>
            <w:vAlign w:val="bottom"/>
            <w:gridSpan w:val="16"/>
          </w:tcPr>
          <w:p>
            <w:pPr>
              <w:jc w:val="center"/>
              <w:ind w:right="3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740" w:type="dxa"/>
            <w:vAlign w:val="bottom"/>
          </w:tcPr>
          <w:p>
            <w:pPr>
              <w:spacing w:after="0"/>
              <w:rPr>
                <w:sz w:val="14"/>
                <w:szCs w:val="14"/>
                <w:color w:val="auto"/>
              </w:rPr>
            </w:pPr>
          </w:p>
        </w:tc>
        <w:tc>
          <w:tcPr>
            <w:tcW w:w="4080" w:type="dxa"/>
            <w:vAlign w:val="bottom"/>
            <w:gridSpan w:val="6"/>
            <w:vMerge w:val="restart"/>
          </w:tcPr>
          <w:p>
            <w:pPr>
              <w:spacing w:after="0"/>
              <w:rPr>
                <w:rFonts w:ascii="Arial" w:cs="Arial" w:eastAsia="Arial" w:hAnsi="Arial"/>
                <w:sz w:val="18"/>
                <w:szCs w:val="18"/>
                <w:u w:val="single" w:color="auto"/>
                <w:color w:val="0000EE"/>
              </w:rPr>
            </w:pPr>
            <w:hyperlink w:anchor="page290">
              <w:r>
                <w:rPr>
                  <w:rFonts w:ascii="Arial" w:cs="Arial" w:eastAsia="Arial" w:hAnsi="Arial"/>
                  <w:sz w:val="18"/>
                  <w:szCs w:val="18"/>
                  <w:u w:val="single" w:color="auto"/>
                  <w:color w:val="0000EE"/>
                </w:rPr>
                <w:t>Form of Underwriting Agreement</w:t>
              </w:r>
            </w:hyperlink>
          </w:p>
        </w:tc>
        <w:tc>
          <w:tcPr>
            <w:tcW w:w="556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w w:val="87"/>
              </w:rPr>
              <w:t>1.1</w:t>
            </w:r>
          </w:p>
        </w:tc>
        <w:tc>
          <w:tcPr>
            <w:tcW w:w="740" w:type="dxa"/>
            <w:vAlign w:val="bottom"/>
          </w:tcPr>
          <w:p>
            <w:pPr>
              <w:spacing w:after="0"/>
              <w:rPr>
                <w:sz w:val="19"/>
                <w:szCs w:val="19"/>
                <w:color w:val="auto"/>
              </w:rPr>
            </w:pPr>
          </w:p>
        </w:tc>
        <w:tc>
          <w:tcPr>
            <w:tcW w:w="4080" w:type="dxa"/>
            <w:vAlign w:val="bottom"/>
            <w:gridSpan w:val="6"/>
            <w:vMerge w:val="continue"/>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8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3.1†</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0">
              <w:r>
                <w:rPr>
                  <w:rFonts w:ascii="Arial" w:cs="Arial" w:eastAsia="Arial" w:hAnsi="Arial"/>
                  <w:sz w:val="18"/>
                  <w:szCs w:val="18"/>
                  <w:u w:val="single" w:color="auto"/>
                  <w:color w:val="0000EE"/>
                </w:rPr>
                <w:t>Seventeenth Amended and Restated Memorandum of Association of the Registrant, as currently in effect</w:t>
              </w:r>
            </w:hyperlink>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3.2†</w:t>
            </w:r>
          </w:p>
        </w:tc>
        <w:tc>
          <w:tcPr>
            <w:tcW w:w="740" w:type="dxa"/>
            <w:vAlign w:val="bottom"/>
          </w:tcPr>
          <w:p>
            <w:pPr>
              <w:spacing w:after="0"/>
              <w:rPr>
                <w:sz w:val="24"/>
                <w:szCs w:val="24"/>
                <w:color w:val="auto"/>
              </w:rPr>
            </w:pPr>
          </w:p>
        </w:tc>
        <w:tc>
          <w:tcPr>
            <w:tcW w:w="9320" w:type="dxa"/>
            <w:vAlign w:val="bottom"/>
            <w:tcBorders>
              <w:bottom w:val="single" w:sz="8" w:color="0000EE"/>
            </w:tcBorders>
            <w:gridSpan w:val="13"/>
          </w:tcPr>
          <w:p>
            <w:pPr>
              <w:spacing w:after="0"/>
              <w:rPr>
                <w:rFonts w:ascii="Arial" w:cs="Arial" w:eastAsia="Arial" w:hAnsi="Arial"/>
                <w:sz w:val="18"/>
                <w:szCs w:val="18"/>
                <w:color w:val="0000EE"/>
                <w:w w:val="91"/>
              </w:rPr>
            </w:pPr>
            <w:hyperlink r:id="rId361">
              <w:r>
                <w:rPr>
                  <w:rFonts w:ascii="Arial" w:cs="Arial" w:eastAsia="Arial" w:hAnsi="Arial"/>
                  <w:sz w:val="18"/>
                  <w:szCs w:val="18"/>
                  <w:color w:val="0000EE"/>
                  <w:w w:val="91"/>
                </w:rPr>
                <w:t>Form of Amended and Restated Memorandum and Articles of Association of the Registrant, as effective immediately prior to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rPr>
            </w:pPr>
            <w:hyperlink r:id="rId361">
              <w:r>
                <w:rPr>
                  <w:rFonts w:ascii="Arial" w:cs="Arial" w:eastAsia="Arial" w:hAnsi="Arial"/>
                  <w:sz w:val="18"/>
                  <w:szCs w:val="18"/>
                  <w:color w:val="0000EE"/>
                </w:rPr>
                <w:t>completion of this offering</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gridSpan w:val="2"/>
          </w:tcPr>
          <w:p>
            <w:pPr>
              <w:jc w:val="right"/>
              <w:ind w:right="174"/>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w:anchor="page346">
              <w:r>
                <w:rPr>
                  <w:rFonts w:ascii="Arial" w:cs="Arial" w:eastAsia="Arial" w:hAnsi="Arial"/>
                  <w:sz w:val="18"/>
                  <w:szCs w:val="18"/>
                  <w:u w:val="single" w:color="auto"/>
                  <w:color w:val="0000EE"/>
                </w:rPr>
                <w:t>Form of Specimen American Depositary Receipt (included in Exhibit 4.3)</w:t>
              </w:r>
            </w:hyperlink>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4.2†</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2">
              <w:r>
                <w:rPr>
                  <w:rFonts w:ascii="Arial" w:cs="Arial" w:eastAsia="Arial" w:hAnsi="Arial"/>
                  <w:sz w:val="18"/>
                  <w:szCs w:val="18"/>
                  <w:u w:val="single" w:color="auto"/>
                  <w:color w:val="0000EE"/>
                </w:rPr>
                <w:t>Registrant’s Specimen Certificate for Ordinary Shares</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174"/>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w w:val="92"/>
              </w:rPr>
            </w:pPr>
            <w:hyperlink w:anchor="page346">
              <w:r>
                <w:rPr>
                  <w:rFonts w:ascii="Arial" w:cs="Arial" w:eastAsia="Arial" w:hAnsi="Arial"/>
                  <w:sz w:val="18"/>
                  <w:szCs w:val="18"/>
                  <w:u w:val="single" w:color="auto"/>
                  <w:color w:val="0000EE"/>
                  <w:w w:val="92"/>
                </w:rPr>
                <w:t>Form of Deposit Agreement between the Registrant, the depositary and the owners and holders of the American Depositary Shares</w:t>
              </w:r>
            </w:hyperlink>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5.1†</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Opinion of Conyers Dill &amp; Pearman regarding the validity of the ordinary shares being registered</w:t>
              </w:r>
            </w:hyperlink>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8.1†</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Opinion of Conyers Dill &amp; Pearman regarding certain Cayman Island tax matters</w:t>
              </w:r>
            </w:hyperlink>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8.2†</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Opinion of Fangda Partners regarding certain PRC tax matters (included in Exhibit 99.2)</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174"/>
              <w:spacing w:after="0"/>
              <w:rPr>
                <w:sz w:val="20"/>
                <w:szCs w:val="20"/>
                <w:color w:val="auto"/>
              </w:rPr>
            </w:pPr>
            <w:r>
              <w:rPr>
                <w:rFonts w:ascii="Arial" w:cs="Arial" w:eastAsia="Arial" w:hAnsi="Arial"/>
                <w:sz w:val="18"/>
                <w:szCs w:val="18"/>
                <w:color w:val="auto"/>
              </w:rPr>
              <w:t>8.3</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w:anchor="page411">
              <w:r>
                <w:rPr>
                  <w:rFonts w:ascii="Arial" w:cs="Arial" w:eastAsia="Arial" w:hAnsi="Arial"/>
                  <w:sz w:val="18"/>
                  <w:szCs w:val="18"/>
                  <w:u w:val="single" w:color="auto"/>
                  <w:color w:val="0000EE"/>
                </w:rPr>
                <w:t>Opinion of Davis Polk &amp; Wardwell LLP regarding certain U.S. federal income tax matters</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10.1†</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Share Option Scheme, as amended on June 27, 2013, May 20, 2015 and December 26, 2016</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10.2†</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w w:val="92"/>
              </w:rPr>
            </w:pPr>
            <w:hyperlink r:id="rId367">
              <w:r>
                <w:rPr>
                  <w:rFonts w:ascii="Arial" w:cs="Arial" w:eastAsia="Arial" w:hAnsi="Arial"/>
                  <w:sz w:val="18"/>
                  <w:szCs w:val="18"/>
                  <w:color w:val="0000EE"/>
                  <w:w w:val="92"/>
                </w:rPr>
                <w:t>Rules relating to the Share Award Scheme, as amended on January 9, 2015, March 3, 2016, June 8, 2016, December 7, 2018 and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67">
              <w:r>
                <w:rPr>
                  <w:rFonts w:ascii="Arial" w:cs="Arial" w:eastAsia="Arial" w:hAnsi="Arial"/>
                  <w:sz w:val="18"/>
                  <w:szCs w:val="18"/>
                  <w:color w:val="0000EE"/>
                </w:rPr>
                <w:t>November 6, 2019</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10.3†</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Form of Indemnification Agreement between the Registrant and its directors and executive officers</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10.4†</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Form of Employment Agreement between the Registrant and its executive officers</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10.5†</w:t>
            </w:r>
          </w:p>
        </w:tc>
        <w:tc>
          <w:tcPr>
            <w:tcW w:w="740" w:type="dxa"/>
            <w:vAlign w:val="bottom"/>
          </w:tcPr>
          <w:p>
            <w:pPr>
              <w:spacing w:after="0"/>
              <w:rPr>
                <w:sz w:val="24"/>
                <w:szCs w:val="24"/>
                <w:color w:val="auto"/>
              </w:rPr>
            </w:pPr>
          </w:p>
        </w:tc>
        <w:tc>
          <w:tcPr>
            <w:tcW w:w="8860" w:type="dxa"/>
            <w:vAlign w:val="bottom"/>
            <w:tcBorders>
              <w:bottom w:val="single" w:sz="8" w:color="0000EE"/>
            </w:tcBorders>
            <w:gridSpan w:val="10"/>
          </w:tcPr>
          <w:p>
            <w:pPr>
              <w:spacing w:after="0"/>
              <w:rPr>
                <w:rFonts w:ascii="Arial" w:cs="Arial" w:eastAsia="Arial" w:hAnsi="Arial"/>
                <w:sz w:val="18"/>
                <w:szCs w:val="18"/>
                <w:color w:val="0000EE"/>
                <w:w w:val="90"/>
              </w:rPr>
            </w:pPr>
            <w:hyperlink r:id="rId370">
              <w:r>
                <w:rPr>
                  <w:rFonts w:ascii="Arial" w:cs="Arial" w:eastAsia="Arial" w:hAnsi="Arial"/>
                  <w:sz w:val="18"/>
                  <w:szCs w:val="18"/>
                  <w:color w:val="0000EE"/>
                  <w:w w:val="90"/>
                </w:rPr>
                <w:t>English translation of Exclusive Consultation and Technical Service Agreement dated November 9, 2012, as amended and</w:t>
              </w:r>
            </w:hyperlink>
          </w:p>
        </w:tc>
        <w:tc>
          <w:tcPr>
            <w:tcW w:w="7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w w:val="98"/>
              </w:rPr>
            </w:pPr>
            <w:hyperlink r:id="rId370">
              <w:r>
                <w:rPr>
                  <w:rFonts w:ascii="Arial" w:cs="Arial" w:eastAsia="Arial" w:hAnsi="Arial"/>
                  <w:sz w:val="18"/>
                  <w:szCs w:val="18"/>
                  <w:color w:val="0000EE"/>
                  <w:w w:val="98"/>
                </w:rPr>
                <w:t>supplemented on November 29, 2019, among Beijing Kingsoft Cloud Network Technology Co., Ltd., Beijing Kingsoft Cloud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70">
              <w:r>
                <w:rPr>
                  <w:rFonts w:ascii="Arial" w:cs="Arial" w:eastAsia="Arial" w:hAnsi="Arial"/>
                  <w:sz w:val="18"/>
                  <w:szCs w:val="18"/>
                  <w:color w:val="0000EE"/>
                </w:rPr>
                <w:t>Technology Co., Ltd. and Zhuhai Kingsoft Cloud Technology Co., Ltd.</w:t>
              </w:r>
            </w:hyperlink>
          </w:p>
        </w:tc>
        <w:tc>
          <w:tcPr>
            <w:tcW w:w="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10.6†</w:t>
            </w:r>
          </w:p>
        </w:tc>
        <w:tc>
          <w:tcPr>
            <w:tcW w:w="74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1"/>
              </w:rPr>
            </w:pPr>
            <w:hyperlink r:id="rId371">
              <w:r>
                <w:rPr>
                  <w:rFonts w:ascii="Arial" w:cs="Arial" w:eastAsia="Arial" w:hAnsi="Arial"/>
                  <w:sz w:val="18"/>
                  <w:szCs w:val="18"/>
                  <w:color w:val="0000EE"/>
                  <w:w w:val="91"/>
                </w:rPr>
                <w:t>English translation of Supplemental Loan Agreement dated November 29, 2019, between Beijing Kingsoft Cloud Technology Co.,</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371">
              <w:r>
                <w:rPr>
                  <w:rFonts w:ascii="Arial" w:cs="Arial" w:eastAsia="Arial" w:hAnsi="Arial"/>
                  <w:sz w:val="18"/>
                  <w:szCs w:val="18"/>
                  <w:color w:val="0000EE"/>
                  <w:w w:val="92"/>
                </w:rPr>
                <w:t>Ltd. and Weiqin Qiu</w:t>
              </w:r>
            </w:hyperlink>
          </w:p>
        </w:tc>
        <w:tc>
          <w:tcPr>
            <w:tcW w:w="81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10.7†</w:t>
            </w:r>
          </w:p>
        </w:tc>
        <w:tc>
          <w:tcPr>
            <w:tcW w:w="74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Arial" w:cs="Arial" w:eastAsia="Arial" w:hAnsi="Arial"/>
                <w:sz w:val="18"/>
                <w:szCs w:val="18"/>
                <w:color w:val="0000EE"/>
                <w:w w:val="91"/>
              </w:rPr>
            </w:pPr>
            <w:hyperlink r:id="rId372">
              <w:r>
                <w:rPr>
                  <w:rFonts w:ascii="Arial" w:cs="Arial" w:eastAsia="Arial" w:hAnsi="Arial"/>
                  <w:sz w:val="18"/>
                  <w:szCs w:val="18"/>
                  <w:color w:val="0000EE"/>
                  <w:w w:val="91"/>
                </w:rPr>
                <w:t>English translation of Creditor’s Right Transfer Agreement dated November 9, 2012, among Weiqin Qiu, Jin Wang, Beijing Kingsoft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72">
              <w:r>
                <w:rPr>
                  <w:rFonts w:ascii="Arial" w:cs="Arial" w:eastAsia="Arial" w:hAnsi="Arial"/>
                  <w:sz w:val="18"/>
                  <w:szCs w:val="18"/>
                  <w:color w:val="0000EE"/>
                  <w:w w:val="92"/>
                </w:rPr>
                <w:t>Digital Entertainment Technology Co., Ltd. and Beijing Kingsoft Cloud Technology Co., Ltd.</w:t>
              </w:r>
            </w:hyperlink>
          </w:p>
        </w:tc>
        <w:tc>
          <w:tcPr>
            <w:tcW w:w="28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10.8†</w:t>
            </w:r>
          </w:p>
        </w:tc>
        <w:tc>
          <w:tcPr>
            <w:tcW w:w="740" w:type="dxa"/>
            <w:vAlign w:val="bottom"/>
          </w:tcPr>
          <w:p>
            <w:pPr>
              <w:spacing w:after="0"/>
              <w:rPr>
                <w:sz w:val="24"/>
                <w:szCs w:val="24"/>
                <w:color w:val="auto"/>
              </w:rPr>
            </w:pPr>
          </w:p>
        </w:tc>
        <w:tc>
          <w:tcPr>
            <w:tcW w:w="9640" w:type="dxa"/>
            <w:vAlign w:val="bottom"/>
            <w:gridSpan w:val="19"/>
          </w:tcPr>
          <w:p>
            <w:pPr>
              <w:spacing w:after="0"/>
              <w:rPr>
                <w:rFonts w:ascii="Arial" w:cs="Arial" w:eastAsia="Arial" w:hAnsi="Arial"/>
                <w:sz w:val="18"/>
                <w:szCs w:val="18"/>
                <w:color w:val="0000EE"/>
                <w:w w:val="93"/>
              </w:rPr>
            </w:pPr>
            <w:hyperlink r:id="rId373">
              <w:r>
                <w:rPr>
                  <w:rFonts w:ascii="Arial" w:cs="Arial" w:eastAsia="Arial" w:hAnsi="Arial"/>
                  <w:sz w:val="18"/>
                  <w:szCs w:val="18"/>
                  <w:color w:val="0000EE"/>
                  <w:w w:val="93"/>
                </w:rPr>
                <w:t>English translation of Equity Pledge Agreement dated June 20, 2014, among Beijing Kingsoft Cloud Technology Co., Ltd., Zhuhai</w:t>
              </w:r>
            </w:hyperlink>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2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Kingsoft Cloud Technology Co., Ltd, Beijing Kingsoft Digital Entertainment Technology Co., Ltd. and Weiqin Qiu.</w:t>
              </w:r>
            </w:hyperlink>
          </w:p>
        </w:tc>
        <w:tc>
          <w:tcPr>
            <w:tcW w:w="2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gridSpan w:val="2"/>
          </w:tcPr>
          <w:p>
            <w:pPr>
              <w:jc w:val="right"/>
              <w:ind w:right="94"/>
              <w:spacing w:after="0"/>
              <w:rPr>
                <w:sz w:val="20"/>
                <w:szCs w:val="20"/>
                <w:color w:val="auto"/>
              </w:rPr>
            </w:pPr>
            <w:r>
              <w:rPr>
                <w:rFonts w:ascii="Arial" w:cs="Arial" w:eastAsia="Arial" w:hAnsi="Arial"/>
                <w:sz w:val="18"/>
                <w:szCs w:val="18"/>
                <w:color w:val="auto"/>
                <w:w w:val="84"/>
              </w:rPr>
              <w:t>10.9†</w:t>
            </w:r>
          </w:p>
        </w:tc>
        <w:tc>
          <w:tcPr>
            <w:tcW w:w="740" w:type="dxa"/>
            <w:vAlign w:val="bottom"/>
          </w:tcPr>
          <w:p>
            <w:pPr>
              <w:spacing w:after="0"/>
              <w:rPr>
                <w:sz w:val="24"/>
                <w:szCs w:val="24"/>
                <w:color w:val="auto"/>
              </w:rPr>
            </w:pPr>
          </w:p>
        </w:tc>
        <w:tc>
          <w:tcPr>
            <w:tcW w:w="9500" w:type="dxa"/>
            <w:vAlign w:val="bottom"/>
            <w:tcBorders>
              <w:bottom w:val="single" w:sz="8" w:color="0000EE"/>
            </w:tcBorders>
            <w:gridSpan w:val="15"/>
          </w:tcPr>
          <w:p>
            <w:pPr>
              <w:spacing w:after="0"/>
              <w:rPr>
                <w:rFonts w:ascii="Arial" w:cs="Arial" w:eastAsia="Arial" w:hAnsi="Arial"/>
                <w:sz w:val="18"/>
                <w:szCs w:val="18"/>
                <w:color w:val="0000EE"/>
                <w:w w:val="89"/>
              </w:rPr>
            </w:pPr>
            <w:hyperlink r:id="rId374">
              <w:r>
                <w:rPr>
                  <w:rFonts w:ascii="Arial" w:cs="Arial" w:eastAsia="Arial" w:hAnsi="Arial"/>
                  <w:sz w:val="18"/>
                  <w:szCs w:val="18"/>
                  <w:color w:val="0000EE"/>
                  <w:w w:val="89"/>
                </w:rPr>
                <w:t>English translation of Exclusive Purchase Option Agreement dated June 20, 2014, as amended and supplemented on November 29,</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374">
              <w:r>
                <w:rPr>
                  <w:rFonts w:ascii="Arial" w:cs="Arial" w:eastAsia="Arial" w:hAnsi="Arial"/>
                  <w:sz w:val="18"/>
                  <w:szCs w:val="18"/>
                  <w:color w:val="0000EE"/>
                  <w:w w:val="93"/>
                </w:rPr>
                <w:t>2019, among Beijing Kingsoft Cloud Technology Co., Ltd., Weiqin Qiu, Beijing Kingsoft Digital Entertainment Technology Co., Ltd.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rPr>
            </w:pPr>
            <w:hyperlink r:id="rId374">
              <w:r>
                <w:rPr>
                  <w:rFonts w:ascii="Arial" w:cs="Arial" w:eastAsia="Arial" w:hAnsi="Arial"/>
                  <w:sz w:val="18"/>
                  <w:szCs w:val="18"/>
                  <w:color w:val="0000EE"/>
                </w:rPr>
                <w:t>and Zhuhai Kingsoft Cloud Technology Co., Ltd.</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10.10†</w:t>
            </w:r>
          </w:p>
        </w:tc>
        <w:tc>
          <w:tcPr>
            <w:tcW w:w="740" w:type="dxa"/>
            <w:vAlign w:val="bottom"/>
          </w:tcPr>
          <w:p>
            <w:pPr>
              <w:spacing w:after="0"/>
              <w:rPr>
                <w:sz w:val="24"/>
                <w:szCs w:val="24"/>
                <w:color w:val="auto"/>
              </w:rPr>
            </w:pPr>
          </w:p>
        </w:tc>
        <w:tc>
          <w:tcPr>
            <w:tcW w:w="9540" w:type="dxa"/>
            <w:vAlign w:val="bottom"/>
            <w:tcBorders>
              <w:bottom w:val="single" w:sz="8" w:color="0000EE"/>
            </w:tcBorders>
            <w:gridSpan w:val="16"/>
          </w:tcPr>
          <w:p>
            <w:pPr>
              <w:spacing w:after="0"/>
              <w:rPr>
                <w:rFonts w:ascii="Arial" w:cs="Arial" w:eastAsia="Arial" w:hAnsi="Arial"/>
                <w:sz w:val="18"/>
                <w:szCs w:val="18"/>
                <w:color w:val="0000EE"/>
                <w:w w:val="90"/>
              </w:rPr>
            </w:pPr>
            <w:hyperlink r:id="rId375">
              <w:r>
                <w:rPr>
                  <w:rFonts w:ascii="Arial" w:cs="Arial" w:eastAsia="Arial" w:hAnsi="Arial"/>
                  <w:sz w:val="18"/>
                  <w:szCs w:val="18"/>
                  <w:color w:val="0000EE"/>
                  <w:w w:val="90"/>
                </w:rPr>
                <w:t>English translation of Shareholder Voting Right Trust Agreement dated June 20, 2014, as amended and supplemented on November</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375">
              <w:r>
                <w:rPr>
                  <w:rFonts w:ascii="Arial" w:cs="Arial" w:eastAsia="Arial" w:hAnsi="Arial"/>
                  <w:sz w:val="18"/>
                  <w:szCs w:val="18"/>
                  <w:color w:val="0000EE"/>
                  <w:w w:val="93"/>
                </w:rPr>
                <w:t>29, 2019, among Beijing Kingsoft Cloud Technology Co., Ltd., Weiqin Qiu, Beijing Kingsoft Digital Entertainment Technology Co.,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9"/>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Ltd. and Zhuhai Kingsoft Cloud Technology Co., Ltd.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020" w:type="dxa"/>
            <w:vAlign w:val="bottom"/>
            <w:gridSpan w:val="1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02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740" w:type="dxa"/>
            <w:vAlign w:val="bottom"/>
          </w:tcPr>
          <w:p>
            <w:pPr>
              <w:spacing w:after="0"/>
              <w:rPr>
                <w:sz w:val="24"/>
                <w:szCs w:val="24"/>
                <w:color w:val="auto"/>
              </w:rPr>
            </w:pPr>
          </w:p>
        </w:tc>
        <w:tc>
          <w:tcPr>
            <w:tcW w:w="9640" w:type="dxa"/>
            <w:vAlign w:val="bottom"/>
            <w:gridSpan w:val="17"/>
          </w:tcPr>
          <w:p>
            <w:pPr>
              <w:spacing w:after="0"/>
              <w:rPr>
                <w:rFonts w:ascii="Arial" w:cs="Arial" w:eastAsia="Arial" w:hAnsi="Arial"/>
                <w:sz w:val="18"/>
                <w:szCs w:val="18"/>
                <w:color w:val="0000EE"/>
                <w:w w:val="91"/>
              </w:rPr>
            </w:pPr>
            <w:hyperlink r:id="rId377">
              <w:r>
                <w:rPr>
                  <w:rFonts w:ascii="Arial" w:cs="Arial" w:eastAsia="Arial" w:hAnsi="Arial"/>
                  <w:sz w:val="18"/>
                  <w:szCs w:val="18"/>
                  <w:color w:val="0000EE"/>
                  <w:w w:val="91"/>
                </w:rPr>
                <w:t>English translation of Exclusive Consultation and Technical Service Agreement dated July 18, 2018, as amended and supplemented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377">
              <w:r>
                <w:rPr>
                  <w:rFonts w:ascii="Arial" w:cs="Arial" w:eastAsia="Arial" w:hAnsi="Arial"/>
                  <w:sz w:val="18"/>
                  <w:szCs w:val="18"/>
                  <w:color w:val="0000EE"/>
                  <w:w w:val="92"/>
                </w:rPr>
                <w:t>on November 29, 2019, between Kingsoft Cloud (Beijing) Information Technology Co., Ltd. and Beijing Yunxiang Zhisheng</w:t>
              </w:r>
            </w:hyperlink>
          </w:p>
        </w:tc>
        <w:tc>
          <w:tcPr>
            <w:tcW w:w="50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377">
              <w:r>
                <w:rPr>
                  <w:rFonts w:ascii="Arial" w:cs="Arial" w:eastAsia="Arial" w:hAnsi="Arial"/>
                  <w:sz w:val="18"/>
                  <w:szCs w:val="18"/>
                  <w:color w:val="0000EE"/>
                  <w:w w:val="91"/>
                </w:rPr>
                <w:t>Technology Co., Ltd.</w:t>
              </w:r>
            </w:hyperlink>
          </w:p>
        </w:tc>
        <w:tc>
          <w:tcPr>
            <w:tcW w:w="81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740" w:type="dxa"/>
            <w:vAlign w:val="bottom"/>
          </w:tcPr>
          <w:p>
            <w:pPr>
              <w:spacing w:after="0"/>
              <w:rPr>
                <w:sz w:val="24"/>
                <w:szCs w:val="24"/>
                <w:color w:val="auto"/>
              </w:rPr>
            </w:pPr>
          </w:p>
        </w:tc>
        <w:tc>
          <w:tcPr>
            <w:tcW w:w="9640" w:type="dxa"/>
            <w:vAlign w:val="bottom"/>
            <w:tcBorders>
              <w:bottom w:val="single" w:sz="8" w:color="0000EE"/>
            </w:tcBorders>
            <w:gridSpan w:val="17"/>
          </w:tcPr>
          <w:p>
            <w:pPr>
              <w:spacing w:after="0"/>
              <w:rPr>
                <w:rFonts w:ascii="Arial" w:cs="Arial" w:eastAsia="Arial" w:hAnsi="Arial"/>
                <w:sz w:val="18"/>
                <w:szCs w:val="18"/>
                <w:color w:val="0000EE"/>
                <w:w w:val="91"/>
              </w:rPr>
            </w:pPr>
            <w:hyperlink r:id="rId378">
              <w:r>
                <w:rPr>
                  <w:rFonts w:ascii="Arial" w:cs="Arial" w:eastAsia="Arial" w:hAnsi="Arial"/>
                  <w:sz w:val="18"/>
                  <w:szCs w:val="18"/>
                  <w:color w:val="0000EE"/>
                  <w:w w:val="91"/>
                </w:rPr>
                <w:t>English translation of Supplemental Loan Agreement dated November 29, 2019, among Beijing Yunxiang Zhisheng Technology Co.,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378">
              <w:r>
                <w:rPr>
                  <w:rFonts w:ascii="Arial" w:cs="Arial" w:eastAsia="Arial" w:hAnsi="Arial"/>
                  <w:sz w:val="18"/>
                  <w:szCs w:val="18"/>
                  <w:color w:val="0000EE"/>
                  <w:w w:val="92"/>
                </w:rPr>
                <w:t>Ltd., Weiqin Qiu and Yulin Wang</w:t>
              </w:r>
            </w:hyperlink>
          </w:p>
        </w:tc>
        <w:tc>
          <w:tcPr>
            <w:tcW w:w="7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740" w:type="dxa"/>
            <w:vAlign w:val="bottom"/>
          </w:tcPr>
          <w:p>
            <w:pPr>
              <w:spacing w:after="0"/>
              <w:rPr>
                <w:sz w:val="24"/>
                <w:szCs w:val="24"/>
                <w:color w:val="auto"/>
              </w:rPr>
            </w:pPr>
          </w:p>
        </w:tc>
        <w:tc>
          <w:tcPr>
            <w:tcW w:w="9640" w:type="dxa"/>
            <w:vAlign w:val="bottom"/>
            <w:gridSpan w:val="17"/>
          </w:tcPr>
          <w:p>
            <w:pPr>
              <w:spacing w:after="0"/>
              <w:rPr>
                <w:rFonts w:ascii="Arial" w:cs="Arial" w:eastAsia="Arial" w:hAnsi="Arial"/>
                <w:sz w:val="18"/>
                <w:szCs w:val="18"/>
                <w:color w:val="0000EE"/>
                <w:w w:val="93"/>
              </w:rPr>
            </w:pPr>
            <w:hyperlink r:id="rId379">
              <w:r>
                <w:rPr>
                  <w:rFonts w:ascii="Arial" w:cs="Arial" w:eastAsia="Arial" w:hAnsi="Arial"/>
                  <w:sz w:val="18"/>
                  <w:szCs w:val="18"/>
                  <w:color w:val="0000EE"/>
                  <w:w w:val="93"/>
                </w:rPr>
                <w:t>English translation of Equity Pledge Agreement dated July 18, 2018, among Kingsoft Cloud (Beijing) Information Technology Co.,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379">
              <w:r>
                <w:rPr>
                  <w:rFonts w:ascii="Arial" w:cs="Arial" w:eastAsia="Arial" w:hAnsi="Arial"/>
                  <w:sz w:val="18"/>
                  <w:szCs w:val="18"/>
                  <w:color w:val="0000EE"/>
                  <w:w w:val="92"/>
                </w:rPr>
                <w:t>Ltd., Beijing Yunxiang Zhisheng Technology Co., Ltd., Weiqin Qiu and Yulin Wang</w:t>
              </w:r>
            </w:hyperlink>
          </w:p>
        </w:tc>
        <w:tc>
          <w:tcPr>
            <w:tcW w:w="346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74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Arial" w:cs="Arial" w:eastAsia="Arial" w:hAnsi="Arial"/>
                <w:sz w:val="18"/>
                <w:szCs w:val="18"/>
                <w:color w:val="0000EE"/>
                <w:w w:val="90"/>
              </w:rPr>
            </w:pPr>
            <w:hyperlink r:id="rId380">
              <w:r>
                <w:rPr>
                  <w:rFonts w:ascii="Arial" w:cs="Arial" w:eastAsia="Arial" w:hAnsi="Arial"/>
                  <w:sz w:val="18"/>
                  <w:szCs w:val="18"/>
                  <w:color w:val="0000EE"/>
                  <w:w w:val="90"/>
                </w:rPr>
                <w:t>English translation of Exclusive Purchase Option Agreement dated July 18, 2018, as amended and supplemented on November 29,</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EE"/>
                <w:w w:val="94"/>
              </w:rPr>
            </w:pPr>
            <w:hyperlink r:id="rId380">
              <w:r>
                <w:rPr>
                  <w:rFonts w:ascii="Arial" w:cs="Arial" w:eastAsia="Arial" w:hAnsi="Arial"/>
                  <w:sz w:val="18"/>
                  <w:szCs w:val="18"/>
                  <w:color w:val="0000EE"/>
                  <w:w w:val="94"/>
                </w:rPr>
                <w:t>2019, among Beijing Yunxiang Zhisheng Technology Co., Ltd., Weiqin Qiu, Yulin Wang and Kingsoft Cloud (Beijing) Information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380">
              <w:r>
                <w:rPr>
                  <w:rFonts w:ascii="Arial" w:cs="Arial" w:eastAsia="Arial" w:hAnsi="Arial"/>
                  <w:sz w:val="18"/>
                  <w:szCs w:val="18"/>
                  <w:color w:val="0000EE"/>
                  <w:w w:val="91"/>
                </w:rPr>
                <w:t>Technology Co., Ltd.</w:t>
              </w:r>
            </w:hyperlink>
          </w:p>
        </w:tc>
        <w:tc>
          <w:tcPr>
            <w:tcW w:w="7920" w:type="dxa"/>
            <w:vAlign w:val="bottom"/>
            <w:tcBorders>
              <w:top w:val="single" w:sz="8" w:color="0000EE"/>
            </w:tcBorders>
            <w:gridSpan w:val="11"/>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74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381">
              <w:r>
                <w:rPr>
                  <w:rFonts w:ascii="Arial" w:cs="Arial" w:eastAsia="Arial" w:hAnsi="Arial"/>
                  <w:sz w:val="18"/>
                  <w:szCs w:val="18"/>
                  <w:color w:val="0000EE"/>
                  <w:w w:val="90"/>
                </w:rPr>
                <w:t>English translation of Shareholder Voting Right Trust Agreement dated July 18, 2018, as amended and supplemented on November</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EE"/>
              </w:rPr>
            </w:pPr>
            <w:hyperlink r:id="rId381">
              <w:r>
                <w:rPr>
                  <w:rFonts w:ascii="Arial" w:cs="Arial" w:eastAsia="Arial" w:hAnsi="Arial"/>
                  <w:sz w:val="18"/>
                  <w:szCs w:val="18"/>
                  <w:color w:val="0000EE"/>
                </w:rPr>
                <w:t>29, 2019, among Beijing Yunxiang Zhisheng Technology Co., Ltd., Weiqin Qiu, Yulin Wang and Kingsoft Cloud (Beijing)</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381">
              <w:r>
                <w:rPr>
                  <w:rFonts w:ascii="Arial" w:cs="Arial" w:eastAsia="Arial" w:hAnsi="Arial"/>
                  <w:sz w:val="18"/>
                  <w:szCs w:val="18"/>
                  <w:color w:val="0000EE"/>
                  <w:w w:val="92"/>
                </w:rPr>
                <w:t>Information Technology Co., Ltd.</w:t>
              </w:r>
            </w:hyperlink>
          </w:p>
        </w:tc>
        <w:tc>
          <w:tcPr>
            <w:tcW w:w="6380" w:type="dxa"/>
            <w:vAlign w:val="bottom"/>
            <w:tcBorders>
              <w:top w:val="single" w:sz="8" w:color="0000EE"/>
            </w:tcBorders>
            <w:gridSpan w:val="4"/>
          </w:tcPr>
          <w:p>
            <w:pPr>
              <w:spacing w:after="0"/>
              <w:rPr>
                <w:sz w:val="17"/>
                <w:szCs w:val="17"/>
                <w:color w:val="auto"/>
              </w:rPr>
            </w:pPr>
          </w:p>
        </w:tc>
        <w:tc>
          <w:tcPr>
            <w:tcW w:w="8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740" w:type="dxa"/>
            <w:vAlign w:val="bottom"/>
          </w:tcPr>
          <w:p>
            <w:pPr>
              <w:spacing w:after="0"/>
              <w:rPr>
                <w:sz w:val="24"/>
                <w:szCs w:val="24"/>
                <w:color w:val="auto"/>
              </w:rPr>
            </w:pPr>
          </w:p>
        </w:tc>
        <w:tc>
          <w:tcPr>
            <w:tcW w:w="9640" w:type="dxa"/>
            <w:vAlign w:val="bottom"/>
            <w:gridSpan w:val="17"/>
          </w:tcPr>
          <w:p>
            <w:pPr>
              <w:spacing w:after="0"/>
              <w:rPr>
                <w:rFonts w:ascii="Arial" w:cs="Arial" w:eastAsia="Arial" w:hAnsi="Arial"/>
                <w:sz w:val="18"/>
                <w:szCs w:val="18"/>
                <w:color w:val="0000EE"/>
                <w:w w:val="94"/>
              </w:rPr>
            </w:pPr>
            <w:hyperlink r:id="rId382">
              <w:r>
                <w:rPr>
                  <w:rFonts w:ascii="Arial" w:cs="Arial" w:eastAsia="Arial" w:hAnsi="Arial"/>
                  <w:sz w:val="18"/>
                  <w:szCs w:val="18"/>
                  <w:color w:val="0000EE"/>
                  <w:w w:val="94"/>
                </w:rPr>
                <w:t>Ninth Amended and Restated Shareholders Agreement dated December 27, 2019 by and among the Registrant, Kingsoft Cloud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60" w:type="dxa"/>
            <w:vAlign w:val="bottom"/>
            <w:tcBorders>
              <w:right w:val="single" w:sz="8" w:color="0000EE"/>
            </w:tcBorders>
            <w:gridSpan w:val="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EE"/>
                <w:w w:val="95"/>
              </w:rPr>
            </w:pPr>
            <w:hyperlink r:id="rId382">
              <w:r>
                <w:rPr>
                  <w:rFonts w:ascii="Arial" w:cs="Arial" w:eastAsia="Arial" w:hAnsi="Arial"/>
                  <w:sz w:val="18"/>
                  <w:szCs w:val="18"/>
                  <w:color w:val="0000EE"/>
                  <w:w w:val="95"/>
                </w:rPr>
                <w:t>Corporation Limited, Kingsoft Cloud INC., Beijing Kingsoft Cloud Technology Co., Ltd., Beijing Yunxiang Zhisheng Technology</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60" w:type="dxa"/>
            <w:vAlign w:val="bottom"/>
            <w:tcBorders>
              <w:right w:val="single" w:sz="8" w:color="0000EE"/>
            </w:tcBorders>
            <w:gridSpan w:val="9"/>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382">
              <w:r>
                <w:rPr>
                  <w:rFonts w:ascii="Arial" w:cs="Arial" w:eastAsia="Arial" w:hAnsi="Arial"/>
                  <w:sz w:val="18"/>
                  <w:szCs w:val="18"/>
                  <w:color w:val="0000EE"/>
                  <w:w w:val="93"/>
                </w:rPr>
                <w:t>Co., Ltd., Zhuhai Kingsoft Cloud Technology Co., Ltd., Kingsoft Cloud (Beijing) Information Technology Co., Ltd., Beijing Kingsoft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382">
              <w:r>
                <w:rPr>
                  <w:rFonts w:ascii="Arial" w:cs="Arial" w:eastAsia="Arial" w:hAnsi="Arial"/>
                  <w:sz w:val="18"/>
                  <w:szCs w:val="18"/>
                  <w:color w:val="0000EE"/>
                  <w:w w:val="92"/>
                </w:rPr>
                <w:t>Cloud Network Technology Co., Ltd., Hainan Chengmai Yunxiang Zhisheng Network Technology Co., Ltd., Beijing Jinxun Ruibo</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82">
              <w:r>
                <w:rPr>
                  <w:rFonts w:ascii="Arial" w:cs="Arial" w:eastAsia="Arial" w:hAnsi="Arial"/>
                  <w:sz w:val="18"/>
                  <w:szCs w:val="18"/>
                  <w:color w:val="0000EE"/>
                  <w:w w:val="91"/>
                </w:rPr>
                <w:t>Network Technology Co., Ltd., Suzhou Yunxiang Zhisheng Network Technology Co., Ltd., Shanghai Ruidian Network Technology</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EE"/>
                <w:w w:val="96"/>
              </w:rPr>
            </w:pPr>
            <w:hyperlink r:id="rId382">
              <w:r>
                <w:rPr>
                  <w:rFonts w:ascii="Arial" w:cs="Arial" w:eastAsia="Arial" w:hAnsi="Arial"/>
                  <w:sz w:val="18"/>
                  <w:szCs w:val="18"/>
                  <w:color w:val="0000EE"/>
                  <w:w w:val="96"/>
                </w:rPr>
                <w:t>Co., Ltd., Nanjing Qianyi Shixun Information Technology Co., Ltd., Kingsoft Corporation Limited, Autogold Limited, River Jade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60" w:type="dxa"/>
            <w:vAlign w:val="bottom"/>
            <w:tcBorders>
              <w:right w:val="single" w:sz="8" w:color="0000EE"/>
            </w:tcBorders>
            <w:gridSpan w:val="9"/>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EE"/>
                <w:w w:val="95"/>
              </w:rPr>
            </w:pPr>
            <w:hyperlink r:id="rId382">
              <w:r>
                <w:rPr>
                  <w:rFonts w:ascii="Arial" w:cs="Arial" w:eastAsia="Arial" w:hAnsi="Arial"/>
                  <w:sz w:val="18"/>
                  <w:szCs w:val="18"/>
                  <w:color w:val="0000EE"/>
                  <w:w w:val="95"/>
                </w:rPr>
                <w:t>Holdings Limited, Mr. Hongjiang Zhang, Mr. Yulin Wang, Xiaomi Corporation, TMF Trust (HK) Limited, Celestial Power Limited,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60" w:type="dxa"/>
            <w:vAlign w:val="bottom"/>
            <w:tcBorders>
              <w:right w:val="single" w:sz="8" w:color="0000EE"/>
            </w:tcBorders>
            <w:gridSpan w:val="9"/>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EE"/>
                <w:w w:val="93"/>
              </w:rPr>
            </w:pPr>
            <w:hyperlink r:id="rId382">
              <w:r>
                <w:rPr>
                  <w:rFonts w:ascii="Arial" w:cs="Arial" w:eastAsia="Arial" w:hAnsi="Arial"/>
                  <w:sz w:val="18"/>
                  <w:szCs w:val="18"/>
                  <w:color w:val="0000EE"/>
                  <w:w w:val="93"/>
                </w:rPr>
                <w:t>ChinaAMC Special Investment Limited, Buddies Team Limited, FUTUREX INNOVATION SPC—Special Opportunity Fund VI SP,</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60" w:type="dxa"/>
            <w:vAlign w:val="bottom"/>
            <w:tcBorders>
              <w:right w:val="single" w:sz="8" w:color="0000EE"/>
            </w:tcBorders>
            <w:gridSpan w:val="9"/>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382">
              <w:r>
                <w:rPr>
                  <w:rFonts w:ascii="Arial" w:cs="Arial" w:eastAsia="Arial" w:hAnsi="Arial"/>
                  <w:sz w:val="18"/>
                  <w:szCs w:val="18"/>
                  <w:color w:val="0000EE"/>
                  <w:w w:val="94"/>
                </w:rPr>
                <w:t>METAWIT CAPITAL L.P., New Cloud Ltd., Precious Steed Limited, Shunwei Growth III Limited, FutureX AI Opportunity Fund LP</w:t>
              </w:r>
            </w:hyperlink>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40" w:type="dxa"/>
            <w:vAlign w:val="bottom"/>
            <w:gridSpan w:val="17"/>
          </w:tcPr>
          <w:p>
            <w:pPr>
              <w:spacing w:after="0"/>
              <w:rPr>
                <w:rFonts w:ascii="Arial" w:cs="Arial" w:eastAsia="Arial" w:hAnsi="Arial"/>
                <w:sz w:val="18"/>
                <w:szCs w:val="18"/>
                <w:u w:val="single" w:color="auto"/>
                <w:color w:val="0000EE"/>
                <w:w w:val="97"/>
              </w:rPr>
            </w:pPr>
            <w:hyperlink r:id="rId382">
              <w:r>
                <w:rPr>
                  <w:rFonts w:ascii="Arial" w:cs="Arial" w:eastAsia="Arial" w:hAnsi="Arial"/>
                  <w:sz w:val="18"/>
                  <w:szCs w:val="18"/>
                  <w:u w:val="single" w:color="auto"/>
                  <w:color w:val="0000EE"/>
                  <w:w w:val="97"/>
                </w:rPr>
                <w:t>(acting through FutureX Innovation Limited as its general partner), FutureX Innovation SPC (acting for and on behalf of New</w:t>
              </w:r>
            </w:hyperlink>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u w:val="single" w:color="auto"/>
                <w:color w:val="0000EE"/>
                <w:w w:val="91"/>
              </w:rPr>
            </w:pPr>
            <w:hyperlink r:id="rId382">
              <w:r>
                <w:rPr>
                  <w:rFonts w:ascii="Arial" w:cs="Arial" w:eastAsia="Arial" w:hAnsi="Arial"/>
                  <w:sz w:val="18"/>
                  <w:szCs w:val="18"/>
                  <w:u w:val="single" w:color="auto"/>
                  <w:color w:val="0000EE"/>
                  <w:w w:val="91"/>
                </w:rPr>
                <w:t>Technology Fund I SP as one of its segregated portfolios), Howater Innovation I Limited Partnership, China Internet Investment Fund</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40" w:type="dxa"/>
            <w:vAlign w:val="bottom"/>
            <w:gridSpan w:val="17"/>
          </w:tcPr>
          <w:p>
            <w:pPr>
              <w:spacing w:after="0"/>
              <w:rPr>
                <w:rFonts w:ascii="Arial" w:cs="Arial" w:eastAsia="Arial" w:hAnsi="Arial"/>
                <w:sz w:val="18"/>
                <w:szCs w:val="18"/>
                <w:u w:val="single" w:color="auto"/>
                <w:color w:val="0000EE"/>
              </w:rPr>
            </w:pPr>
            <w:hyperlink r:id="rId382">
              <w:r>
                <w:rPr>
                  <w:rFonts w:ascii="Arial" w:cs="Arial" w:eastAsia="Arial" w:hAnsi="Arial"/>
                  <w:sz w:val="18"/>
                  <w:szCs w:val="18"/>
                  <w:u w:val="single" w:color="auto"/>
                  <w:color w:val="0000EE"/>
                </w:rPr>
                <w:t>and DESIGN TIME LIMITED.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740" w:type="dxa"/>
            <w:vAlign w:val="bottom"/>
          </w:tcPr>
          <w:p>
            <w:pPr>
              <w:spacing w:after="0"/>
              <w:rPr>
                <w:sz w:val="24"/>
                <w:szCs w:val="24"/>
                <w:color w:val="auto"/>
              </w:rPr>
            </w:pPr>
          </w:p>
        </w:tc>
        <w:tc>
          <w:tcPr>
            <w:tcW w:w="9640" w:type="dxa"/>
            <w:vAlign w:val="bottom"/>
            <w:gridSpan w:val="17"/>
          </w:tcPr>
          <w:p>
            <w:pPr>
              <w:spacing w:after="0"/>
              <w:rPr>
                <w:rFonts w:ascii="Arial" w:cs="Arial" w:eastAsia="Arial" w:hAnsi="Arial"/>
                <w:sz w:val="18"/>
                <w:szCs w:val="18"/>
                <w:color w:val="0000EE"/>
                <w:w w:val="95"/>
              </w:rPr>
            </w:pPr>
            <w:hyperlink w:anchor="page412">
              <w:r>
                <w:rPr>
                  <w:rFonts w:ascii="Arial" w:cs="Arial" w:eastAsia="Arial" w:hAnsi="Arial"/>
                  <w:sz w:val="18"/>
                  <w:szCs w:val="18"/>
                  <w:color w:val="0000EE"/>
                  <w:w w:val="95"/>
                </w:rPr>
                <w:t>Termination Agreement dated April 30, 2020 by and among the Registrant, Kingsoft Cloud Corporation Limited, Kingsoft Cloud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412">
              <w:r>
                <w:rPr>
                  <w:rFonts w:ascii="Arial" w:cs="Arial" w:eastAsia="Arial" w:hAnsi="Arial"/>
                  <w:sz w:val="18"/>
                  <w:szCs w:val="18"/>
                  <w:color w:val="0000EE"/>
                  <w:w w:val="93"/>
                </w:rPr>
                <w:t>INC., Beijing Kingsoft Cloud Technology Co., Ltd., Beijing Yunxiang Zhisheng Technology Co., Ltd., Zhuhai Kingsoft Cloud</w:t>
              </w:r>
            </w:hyperlink>
          </w:p>
        </w:tc>
        <w:tc>
          <w:tcPr>
            <w:tcW w:w="200" w:type="dxa"/>
            <w:vAlign w:val="bottom"/>
            <w:tcBorders>
              <w:top w:val="single" w:sz="8" w:color="0000EE"/>
            </w:tcBorders>
          </w:tcPr>
          <w:p>
            <w:pPr>
              <w:spacing w:after="0"/>
              <w:rPr>
                <w:sz w:val="17"/>
                <w:szCs w:val="17"/>
                <w:color w:val="auto"/>
              </w:rPr>
            </w:pPr>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40" w:right="40"/>
        <w:spacing w:after="0" w:line="269" w:lineRule="auto"/>
        <w:rPr>
          <w:rFonts w:ascii="Arial" w:cs="Arial" w:eastAsia="Arial" w:hAnsi="Arial"/>
          <w:sz w:val="17"/>
          <w:szCs w:val="17"/>
          <w:u w:val="single" w:color="auto"/>
          <w:color w:val="0000EE"/>
        </w:rPr>
      </w:pPr>
      <w:hyperlink w:anchor="page412">
        <w:r>
          <w:rPr>
            <w:rFonts w:ascii="Arial" w:cs="Arial" w:eastAsia="Arial" w:hAnsi="Arial"/>
            <w:sz w:val="17"/>
            <w:szCs w:val="17"/>
            <w:u w:val="single" w:color="auto"/>
            <w:color w:val="0000EE"/>
          </w:rPr>
          <w:t>Technology Co., Ltd., Kingsoft Cloud (Beijing) Information Technology Co., Ltd., Beijing Kingsoft Cloud Network Technology Co.,</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Ltd., Beijing Jinxun Ruibo Network Technology Co., Ltd., Shanghai Ruidian Network Technology Co., Ltd., Nanjing Qianyi Shixun</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Information Technology Co., Ltd., Suzhou Yunxiang Zhisheng Network Technology Co., Ltd., Hainan Chengmai Yunxiang Zhisheng</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Network Technology Co., Ltd., Kingsoft Corporation Limited, Autogold Limited, River Jade Holdings Limited, Mr. Hongjiang</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Zhang, Mr. Yulin Wang, Xiaomi Corporation, TMF Trust (HK) Limited, Celestial Power Limited, ChinaAMC Special Investment</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Limited, METAWIT CAPITAL L.P., New Cloud Ltd., Precious Steed Limited, Shunwei Growth III Limited, FUTUREX</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INNOVATION SPC—Special Opportunity Fund VI SP, FutureX AI Opportunity Fund LP (acting through FutureX Innovation</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Limited as its general partner), FutureX Innovation SPC (acting for and on behalf of New Technology Fund I SP as one of its</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segregated portfolios), Howater Innovation I Limited Partnership, FUTUREX INNOVATION SPC (for the account of and on behalf</w:t>
        </w:r>
      </w:hyperlink>
      <w:r>
        <w:rPr>
          <w:rFonts w:ascii="Arial" w:cs="Arial" w:eastAsia="Arial" w:hAnsi="Arial"/>
          <w:sz w:val="17"/>
          <w:szCs w:val="17"/>
          <w:u w:val="single" w:color="auto"/>
          <w:color w:val="0000EE"/>
        </w:rPr>
        <w:t xml:space="preserve"> </w:t>
      </w:r>
      <w:hyperlink w:anchor="page412">
        <w:r>
          <w:rPr>
            <w:rFonts w:ascii="Arial" w:cs="Arial" w:eastAsia="Arial" w:hAnsi="Arial"/>
            <w:sz w:val="17"/>
            <w:szCs w:val="17"/>
            <w:u w:val="single" w:color="auto"/>
            <w:color w:val="0000EE"/>
          </w:rPr>
          <w:t>of Special Opportunity Fund V SP), China Internet Investment Fund and DESIGN TIME LIMITED.</w:t>
        </w:r>
      </w:hyperlink>
    </w:p>
    <w:p>
      <w:pPr>
        <w:spacing w:after="0" w:line="118" w:lineRule="exact"/>
        <w:rPr>
          <w:rFonts w:ascii="Arial" w:cs="Arial" w:eastAsia="Arial" w:hAnsi="Arial"/>
          <w:sz w:val="17"/>
          <w:szCs w:val="17"/>
          <w:u w:val="single" w:color="auto"/>
          <w:color w:val="0000EE"/>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9"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060" w:type="dxa"/>
            <w:vAlign w:val="bottom"/>
            <w:gridSpan w:val="1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06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74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w w:val="96"/>
              </w:rPr>
            </w:pPr>
            <w:hyperlink r:id="rId384">
              <w:r>
                <w:rPr>
                  <w:rFonts w:ascii="Arial" w:cs="Arial" w:eastAsia="Arial" w:hAnsi="Arial"/>
                  <w:sz w:val="18"/>
                  <w:szCs w:val="18"/>
                  <w:color w:val="0000EE"/>
                  <w:w w:val="96"/>
                </w:rPr>
                <w:t>Registration Rights Agreement dated April 7, 2020 by and among the Registrant, Celestial Power Limited, ChinaAMC Special</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384">
              <w:r>
                <w:rPr>
                  <w:rFonts w:ascii="Arial" w:cs="Arial" w:eastAsia="Arial" w:hAnsi="Arial"/>
                  <w:sz w:val="18"/>
                  <w:szCs w:val="18"/>
                  <w:color w:val="0000EE"/>
                  <w:w w:val="94"/>
                </w:rPr>
                <w:t>Investment Limited, METAWIT CAPITAL L.P., New Cloud Ltd., Shunwei Growth III Limited, Precious Steed Limited, FUTUREX</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14"/>
          </w:tcPr>
          <w:p>
            <w:pPr>
              <w:spacing w:after="0" w:line="196" w:lineRule="exact"/>
              <w:rPr>
                <w:rFonts w:ascii="Arial" w:cs="Arial" w:eastAsia="Arial" w:hAnsi="Arial"/>
                <w:sz w:val="18"/>
                <w:szCs w:val="18"/>
                <w:color w:val="0000EE"/>
                <w:w w:val="99"/>
              </w:rPr>
            </w:pPr>
            <w:hyperlink r:id="rId384">
              <w:r>
                <w:rPr>
                  <w:rFonts w:ascii="Arial" w:cs="Arial" w:eastAsia="Arial" w:hAnsi="Arial"/>
                  <w:sz w:val="18"/>
                  <w:szCs w:val="18"/>
                  <w:color w:val="0000EE"/>
                  <w:w w:val="99"/>
                </w:rPr>
                <w:t>INNOVATION SPC—Special Opportunity Fund VI SP, FutureX AI Opportunity Fund LP (acting through FutureX Innovation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384">
              <w:r>
                <w:rPr>
                  <w:rFonts w:ascii="Arial" w:cs="Arial" w:eastAsia="Arial" w:hAnsi="Arial"/>
                  <w:sz w:val="18"/>
                  <w:szCs w:val="18"/>
                  <w:color w:val="0000EE"/>
                  <w:w w:val="91"/>
                </w:rPr>
                <w:t>Limited as its general partner), FutureX Innovation SPC (acting for and on behalf of New Technology Fund I SP as one of its</w:t>
              </w:r>
            </w:hyperlink>
          </w:p>
        </w:tc>
        <w:tc>
          <w:tcPr>
            <w:tcW w:w="80" w:type="dxa"/>
            <w:vAlign w:val="bottom"/>
            <w:tcBorders>
              <w:top w:val="single" w:sz="8" w:color="0000EE"/>
            </w:tcBorders>
          </w:tcPr>
          <w:p>
            <w:pPr>
              <w:spacing w:after="0"/>
              <w:rPr>
                <w:sz w:val="17"/>
                <w:szCs w:val="17"/>
                <w:color w:val="auto"/>
              </w:rPr>
            </w:pPr>
          </w:p>
        </w:tc>
        <w:tc>
          <w:tcPr>
            <w:tcW w:w="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84">
              <w:r>
                <w:rPr>
                  <w:rFonts w:ascii="Arial" w:cs="Arial" w:eastAsia="Arial" w:hAnsi="Arial"/>
                  <w:sz w:val="18"/>
                  <w:szCs w:val="18"/>
                  <w:color w:val="0000EE"/>
                  <w:w w:val="91"/>
                </w:rPr>
                <w:t>segregated portfolios), FutureX Innovation SPC (for the account of and on behalf of Special Opportunity Fund V SP), Howater</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80" w:type="dxa"/>
            <w:vAlign w:val="bottom"/>
            <w:gridSpan w:val="14"/>
          </w:tcPr>
          <w:p>
            <w:pPr>
              <w:spacing w:after="0"/>
              <w:rPr>
                <w:rFonts w:ascii="Arial" w:cs="Arial" w:eastAsia="Arial" w:hAnsi="Arial"/>
                <w:sz w:val="18"/>
                <w:szCs w:val="18"/>
                <w:u w:val="single" w:color="auto"/>
                <w:color w:val="0000EE"/>
                <w:w w:val="97"/>
              </w:rPr>
            </w:pPr>
            <w:hyperlink r:id="rId384">
              <w:r>
                <w:rPr>
                  <w:rFonts w:ascii="Arial" w:cs="Arial" w:eastAsia="Arial" w:hAnsi="Arial"/>
                  <w:sz w:val="18"/>
                  <w:szCs w:val="18"/>
                  <w:u w:val="single" w:color="auto"/>
                  <w:color w:val="0000EE"/>
                  <w:w w:val="97"/>
                </w:rPr>
                <w:t>Innovation I Limited Partnership, China Internet Investment Fund.</w:t>
              </w:r>
              <w:r>
                <w:rPr>
                  <w:rFonts w:ascii="Arial" w:cs="Arial" w:eastAsia="Arial" w:hAnsi="Arial"/>
                  <w:sz w:val="18"/>
                  <w:szCs w:val="18"/>
                  <w:b w:val="1"/>
                  <w:bCs w:val="1"/>
                  <w:u w:val="single" w:color="auto"/>
                  <w:color w:val="0000EE"/>
                  <w:w w:val="97"/>
                </w:rPr>
                <w:t>,</w:t>
              </w:r>
              <w:r>
                <w:rPr>
                  <w:rFonts w:ascii="Arial" w:cs="Arial" w:eastAsia="Arial" w:hAnsi="Arial"/>
                  <w:sz w:val="18"/>
                  <w:szCs w:val="18"/>
                  <w:u w:val="single" w:color="auto"/>
                  <w:color w:val="0000EE"/>
                  <w:w w:val="97"/>
                </w:rPr>
                <w:t xml:space="preserve"> DESIGN TIME LIMITED, Xiaomi Corporation and Kingsoft</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80" w:type="dxa"/>
            <w:vAlign w:val="bottom"/>
            <w:gridSpan w:val="14"/>
          </w:tcPr>
          <w:p>
            <w:pPr>
              <w:spacing w:after="0"/>
              <w:rPr>
                <w:rFonts w:ascii="Arial" w:cs="Arial" w:eastAsia="Arial" w:hAnsi="Arial"/>
                <w:sz w:val="18"/>
                <w:szCs w:val="18"/>
                <w:u w:val="single" w:color="auto"/>
                <w:color w:val="0000EE"/>
              </w:rPr>
            </w:pPr>
            <w:hyperlink r:id="rId384">
              <w:r>
                <w:rPr>
                  <w:rFonts w:ascii="Arial" w:cs="Arial" w:eastAsia="Arial" w:hAnsi="Arial"/>
                  <w:sz w:val="18"/>
                  <w:szCs w:val="18"/>
                  <w:u w:val="single" w:color="auto"/>
                  <w:color w:val="0000EE"/>
                </w:rPr>
                <w:t>Corporation Limited.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74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w w:val="93"/>
              </w:rPr>
            </w:pPr>
            <w:hyperlink r:id="rId385">
              <w:r>
                <w:rPr>
                  <w:rFonts w:ascii="Arial" w:cs="Arial" w:eastAsia="Arial" w:hAnsi="Arial"/>
                  <w:sz w:val="18"/>
                  <w:szCs w:val="18"/>
                  <w:color w:val="0000EE"/>
                  <w:w w:val="93"/>
                </w:rPr>
                <w:t>Share Purchase Agreement dated September 12, 2017 by and among the Registrant, Kingsoft Cloud Corporation Limited, Beijing</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385">
              <w:r>
                <w:rPr>
                  <w:rFonts w:ascii="Arial" w:cs="Arial" w:eastAsia="Arial" w:hAnsi="Arial"/>
                  <w:sz w:val="18"/>
                  <w:szCs w:val="18"/>
                  <w:color w:val="0000EE"/>
                  <w:w w:val="92"/>
                </w:rPr>
                <w:t>Kingsoft Cloud Technology Co., Ltd., Beijing Yunxiang Zhisheng Technology Co., Ltd., Zhuhai Kingsoft Cloud Technology Co.,</w:t>
              </w:r>
            </w:hyperlink>
          </w:p>
        </w:tc>
        <w:tc>
          <w:tcPr>
            <w:tcW w:w="40" w:type="dxa"/>
            <w:vAlign w:val="bottom"/>
            <w:tcBorders>
              <w:top w:val="single" w:sz="8" w:color="0000EE"/>
            </w:tcBorders>
            <w:gridSpan w:val="2"/>
          </w:tcPr>
          <w:p>
            <w:pPr>
              <w:spacing w:after="0"/>
              <w:rPr>
                <w:sz w:val="17"/>
                <w:szCs w:val="17"/>
                <w:color w:val="auto"/>
              </w:rPr>
            </w:pP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14"/>
          </w:tcPr>
          <w:p>
            <w:pPr>
              <w:spacing w:after="0" w:line="196" w:lineRule="exact"/>
              <w:rPr>
                <w:rFonts w:ascii="Arial" w:cs="Arial" w:eastAsia="Arial" w:hAnsi="Arial"/>
                <w:sz w:val="18"/>
                <w:szCs w:val="18"/>
                <w:color w:val="0000EE"/>
                <w:w w:val="94"/>
              </w:rPr>
            </w:pPr>
            <w:hyperlink r:id="rId385">
              <w:r>
                <w:rPr>
                  <w:rFonts w:ascii="Arial" w:cs="Arial" w:eastAsia="Arial" w:hAnsi="Arial"/>
                  <w:sz w:val="18"/>
                  <w:szCs w:val="18"/>
                  <w:color w:val="0000EE"/>
                  <w:w w:val="94"/>
                </w:rPr>
                <w:t>Ltd., Beijing Kingsoft Cloud Network Technology Co., Ltd., Hainan Chengmai Yunxiang Zhisheng Network Technology Co., Ltd.,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8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85">
              <w:r>
                <w:rPr>
                  <w:rFonts w:ascii="Arial" w:cs="Arial" w:eastAsia="Arial" w:hAnsi="Arial"/>
                  <w:sz w:val="18"/>
                  <w:szCs w:val="18"/>
                  <w:color w:val="0000EE"/>
                  <w:w w:val="92"/>
                </w:rPr>
                <w:t>Beijing Jinxun Ruibo Network Technology Co., Ltd., Suzhou Yunxiang Zhisheng Network Technology Co., Ltd., Shanghai Ruidian</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80" w:type="dxa"/>
            <w:vAlign w:val="bottom"/>
            <w:gridSpan w:val="14"/>
          </w:tcPr>
          <w:p>
            <w:pPr>
              <w:spacing w:after="0"/>
              <w:rPr>
                <w:rFonts w:ascii="Arial" w:cs="Arial" w:eastAsia="Arial" w:hAnsi="Arial"/>
                <w:sz w:val="18"/>
                <w:szCs w:val="18"/>
                <w:u w:val="single" w:color="auto"/>
                <w:color w:val="0000EE"/>
                <w:w w:val="95"/>
              </w:rPr>
            </w:pPr>
            <w:hyperlink r:id="rId385">
              <w:r>
                <w:rPr>
                  <w:rFonts w:ascii="Arial" w:cs="Arial" w:eastAsia="Arial" w:hAnsi="Arial"/>
                  <w:sz w:val="18"/>
                  <w:szCs w:val="18"/>
                  <w:u w:val="single" w:color="auto"/>
                  <w:color w:val="0000EE"/>
                  <w:w w:val="95"/>
                </w:rPr>
                <w:t>Network Technology Co., Ltd., Nanjing Qianyi Shixun Information Technology Co., Ltd., Kingsoft Corporation Limited, Autogold</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80" w:type="dxa"/>
            <w:vAlign w:val="bottom"/>
            <w:gridSpan w:val="14"/>
          </w:tcPr>
          <w:p>
            <w:pPr>
              <w:spacing w:after="0"/>
              <w:rPr>
                <w:rFonts w:ascii="Arial" w:cs="Arial" w:eastAsia="Arial" w:hAnsi="Arial"/>
                <w:sz w:val="18"/>
                <w:szCs w:val="18"/>
                <w:u w:val="single" w:color="auto"/>
                <w:color w:val="0000EE"/>
              </w:rPr>
            </w:pPr>
            <w:hyperlink r:id="rId385">
              <w:r>
                <w:rPr>
                  <w:rFonts w:ascii="Arial" w:cs="Arial" w:eastAsia="Arial" w:hAnsi="Arial"/>
                  <w:sz w:val="18"/>
                  <w:szCs w:val="18"/>
                  <w:u w:val="single" w:color="auto"/>
                  <w:color w:val="0000EE"/>
                </w:rPr>
                <w:t>Limited, Mr. Yulin Wang and LIYUE JINSHI INVESTMENT L.P.</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74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w w:val="96"/>
              </w:rPr>
            </w:pPr>
            <w:hyperlink r:id="rId386">
              <w:r>
                <w:rPr>
                  <w:rFonts w:ascii="Arial" w:cs="Arial" w:eastAsia="Arial" w:hAnsi="Arial"/>
                  <w:sz w:val="18"/>
                  <w:szCs w:val="18"/>
                  <w:color w:val="0000EE"/>
                  <w:w w:val="96"/>
                </w:rPr>
                <w:t>Share Purchase Agreement dated October 11, 2017 by and among the Registrant, Kingsoft Cloud Corporation Limited, Beijing</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8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86">
              <w:r>
                <w:rPr>
                  <w:rFonts w:ascii="Arial" w:cs="Arial" w:eastAsia="Arial" w:hAnsi="Arial"/>
                  <w:sz w:val="18"/>
                  <w:szCs w:val="18"/>
                  <w:color w:val="0000EE"/>
                  <w:w w:val="92"/>
                </w:rPr>
                <w:t>Kingsoft Cloud Technology Co., Ltd., Beijing Yunxiang Zhisheng Technology Co., Ltd., Zhuhai Kingsoft Cloud Technology Co.,</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14"/>
          </w:tcPr>
          <w:p>
            <w:pPr>
              <w:spacing w:after="0" w:line="196" w:lineRule="exact"/>
              <w:rPr>
                <w:rFonts w:ascii="Arial" w:cs="Arial" w:eastAsia="Arial" w:hAnsi="Arial"/>
                <w:sz w:val="18"/>
                <w:szCs w:val="18"/>
                <w:color w:val="0000EE"/>
                <w:w w:val="94"/>
              </w:rPr>
            </w:pPr>
            <w:hyperlink r:id="rId386">
              <w:r>
                <w:rPr>
                  <w:rFonts w:ascii="Arial" w:cs="Arial" w:eastAsia="Arial" w:hAnsi="Arial"/>
                  <w:sz w:val="18"/>
                  <w:szCs w:val="18"/>
                  <w:color w:val="0000EE"/>
                  <w:w w:val="94"/>
                </w:rPr>
                <w:t>Ltd., Beijing Kingsoft Cloud Network Technology Co., Ltd., Hainan Chengmai Yunxiang Zhisheng Network Technology Co., Ltd.,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6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86">
              <w:r>
                <w:rPr>
                  <w:rFonts w:ascii="Arial" w:cs="Arial" w:eastAsia="Arial" w:hAnsi="Arial"/>
                  <w:sz w:val="18"/>
                  <w:szCs w:val="18"/>
                  <w:color w:val="0000EE"/>
                  <w:w w:val="92"/>
                </w:rPr>
                <w:t>Beijing Jinxun Ruibo Network Technology Co., Ltd., Suzhou Yunxiang Zhisheng Network Technology Co., Ltd., Shanghai Ruidian</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80" w:type="dxa"/>
            <w:vAlign w:val="bottom"/>
            <w:gridSpan w:val="14"/>
          </w:tcPr>
          <w:p>
            <w:pPr>
              <w:spacing w:after="0"/>
              <w:rPr>
                <w:rFonts w:ascii="Arial" w:cs="Arial" w:eastAsia="Arial" w:hAnsi="Arial"/>
                <w:sz w:val="18"/>
                <w:szCs w:val="18"/>
                <w:u w:val="single" w:color="auto"/>
                <w:color w:val="0000EE"/>
                <w:w w:val="95"/>
              </w:rPr>
            </w:pPr>
            <w:hyperlink r:id="rId386">
              <w:r>
                <w:rPr>
                  <w:rFonts w:ascii="Arial" w:cs="Arial" w:eastAsia="Arial" w:hAnsi="Arial"/>
                  <w:sz w:val="18"/>
                  <w:szCs w:val="18"/>
                  <w:u w:val="single" w:color="auto"/>
                  <w:color w:val="0000EE"/>
                  <w:w w:val="95"/>
                </w:rPr>
                <w:t>Network Technology Co., Ltd., Nanjing Qianyi Shixun Information Technology Co., Ltd., Kingsoft Corporation Limited, Autogold</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80" w:type="dxa"/>
            <w:vAlign w:val="bottom"/>
            <w:gridSpan w:val="14"/>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Limited, Mr. Yulin Wang and New Cloud Ltd.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740" w:type="dxa"/>
            <w:vAlign w:val="bottom"/>
          </w:tcPr>
          <w:p>
            <w:pPr>
              <w:spacing w:after="0"/>
              <w:rPr>
                <w:sz w:val="24"/>
                <w:szCs w:val="24"/>
                <w:color w:val="auto"/>
              </w:rPr>
            </w:pPr>
          </w:p>
        </w:tc>
        <w:tc>
          <w:tcPr>
            <w:tcW w:w="9360" w:type="dxa"/>
            <w:vAlign w:val="bottom"/>
            <w:tcBorders>
              <w:bottom w:val="single" w:sz="8" w:color="0000EE"/>
            </w:tcBorders>
            <w:gridSpan w:val="7"/>
          </w:tcPr>
          <w:p>
            <w:pPr>
              <w:spacing w:after="0"/>
              <w:rPr>
                <w:rFonts w:ascii="Arial" w:cs="Arial" w:eastAsia="Arial" w:hAnsi="Arial"/>
                <w:sz w:val="18"/>
                <w:szCs w:val="18"/>
                <w:color w:val="0000EE"/>
                <w:w w:val="91"/>
              </w:rPr>
            </w:pPr>
            <w:hyperlink r:id="rId387">
              <w:r>
                <w:rPr>
                  <w:rFonts w:ascii="Arial" w:cs="Arial" w:eastAsia="Arial" w:hAnsi="Arial"/>
                  <w:sz w:val="18"/>
                  <w:szCs w:val="18"/>
                  <w:color w:val="0000EE"/>
                  <w:w w:val="91"/>
                </w:rPr>
                <w:t>Share Purchase Agreement dated December 28, 2017 by and among the Registrant, Kingsoft Cloud Corporation Limited, Beijing</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87">
              <w:r>
                <w:rPr>
                  <w:rFonts w:ascii="Arial" w:cs="Arial" w:eastAsia="Arial" w:hAnsi="Arial"/>
                  <w:sz w:val="18"/>
                  <w:szCs w:val="18"/>
                  <w:color w:val="0000EE"/>
                  <w:w w:val="92"/>
                </w:rPr>
                <w:t>Kingsoft Cloud Technology Co., Ltd., Beijing Yunxiang Zhisheng Technology Co., Ltd., Zhuhai Kingsoft Cloud Technology Co., Ltd,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387">
              <w:r>
                <w:rPr>
                  <w:rFonts w:ascii="Arial" w:cs="Arial" w:eastAsia="Arial" w:hAnsi="Arial"/>
                  <w:sz w:val="18"/>
                  <w:szCs w:val="18"/>
                  <w:color w:val="0000EE"/>
                  <w:w w:val="92"/>
                </w:rPr>
                <w:t>Beijing Kingsoft Cloud Network Technology Co., Ltd., Hainan Chengmai Yunxiang Zhisheng Network Technology Co., Ltd., Beijing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87">
              <w:r>
                <w:rPr>
                  <w:rFonts w:ascii="Arial" w:cs="Arial" w:eastAsia="Arial" w:hAnsi="Arial"/>
                  <w:sz w:val="18"/>
                  <w:szCs w:val="18"/>
                  <w:color w:val="0000EE"/>
                  <w:w w:val="91"/>
                </w:rPr>
                <w:t>Jinxun Ruibo Network Technology Co., Ltd., Suzhou Yunxiang Zhisheng Network Technology Co., Ltd., Shanghai Ruidian Network</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80" w:type="dxa"/>
            <w:vAlign w:val="bottom"/>
            <w:gridSpan w:val="14"/>
          </w:tcPr>
          <w:p>
            <w:pPr>
              <w:spacing w:after="0"/>
              <w:rPr>
                <w:rFonts w:ascii="Arial" w:cs="Arial" w:eastAsia="Arial" w:hAnsi="Arial"/>
                <w:sz w:val="18"/>
                <w:szCs w:val="18"/>
                <w:u w:val="single" w:color="auto"/>
                <w:color w:val="0000EE"/>
                <w:w w:val="96"/>
              </w:rPr>
            </w:pPr>
            <w:hyperlink r:id="rId387">
              <w:r>
                <w:rPr>
                  <w:rFonts w:ascii="Arial" w:cs="Arial" w:eastAsia="Arial" w:hAnsi="Arial"/>
                  <w:sz w:val="18"/>
                  <w:szCs w:val="18"/>
                  <w:u w:val="single" w:color="auto"/>
                  <w:color w:val="0000EE"/>
                  <w:w w:val="96"/>
                </w:rPr>
                <w:t>Technology Co., Ltd., Nanjing Qianyi Shixun Information Technology Co., Ltd., Kingsoft Corporation Limited, Autogold Limited,</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80" w:type="dxa"/>
            <w:vAlign w:val="bottom"/>
            <w:gridSpan w:val="14"/>
          </w:tcPr>
          <w:p>
            <w:pPr>
              <w:spacing w:after="0"/>
              <w:rPr>
                <w:rFonts w:ascii="Arial" w:cs="Arial" w:eastAsia="Arial" w:hAnsi="Arial"/>
                <w:sz w:val="18"/>
                <w:szCs w:val="18"/>
                <w:u w:val="single" w:color="auto"/>
                <w:color w:val="0000EE"/>
              </w:rPr>
            </w:pPr>
            <w:hyperlink r:id="rId387">
              <w:r>
                <w:rPr>
                  <w:rFonts w:ascii="Arial" w:cs="Arial" w:eastAsia="Arial" w:hAnsi="Arial"/>
                  <w:sz w:val="18"/>
                  <w:szCs w:val="18"/>
                  <w:u w:val="single" w:color="auto"/>
                  <w:color w:val="0000EE"/>
                </w:rPr>
                <w:t>Mr. Yulin Wang and Precious Steed Limited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740" w:type="dxa"/>
            <w:vAlign w:val="bottom"/>
          </w:tcPr>
          <w:p>
            <w:pPr>
              <w:spacing w:after="0"/>
              <w:rPr>
                <w:sz w:val="24"/>
                <w:szCs w:val="24"/>
                <w:color w:val="auto"/>
              </w:rPr>
            </w:pPr>
          </w:p>
        </w:tc>
        <w:tc>
          <w:tcPr>
            <w:tcW w:w="9360" w:type="dxa"/>
            <w:vAlign w:val="bottom"/>
            <w:tcBorders>
              <w:bottom w:val="single" w:sz="8" w:color="0000EE"/>
            </w:tcBorders>
            <w:gridSpan w:val="7"/>
          </w:tcPr>
          <w:p>
            <w:pPr>
              <w:spacing w:after="0"/>
              <w:rPr>
                <w:rFonts w:ascii="Arial" w:cs="Arial" w:eastAsia="Arial" w:hAnsi="Arial"/>
                <w:sz w:val="18"/>
                <w:szCs w:val="18"/>
                <w:color w:val="0000EE"/>
                <w:w w:val="91"/>
              </w:rPr>
            </w:pPr>
            <w:hyperlink r:id="rId388">
              <w:r>
                <w:rPr>
                  <w:rFonts w:ascii="Arial" w:cs="Arial" w:eastAsia="Arial" w:hAnsi="Arial"/>
                  <w:sz w:val="18"/>
                  <w:szCs w:val="18"/>
                  <w:color w:val="0000EE"/>
                  <w:w w:val="91"/>
                </w:rPr>
                <w:t>Share Purchase Agreement dated December 28, 2017 by and among the Registrant, Kingsoft Cloud Corporation Limited, Beijing</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88">
              <w:r>
                <w:rPr>
                  <w:rFonts w:ascii="Arial" w:cs="Arial" w:eastAsia="Arial" w:hAnsi="Arial"/>
                  <w:sz w:val="18"/>
                  <w:szCs w:val="18"/>
                  <w:color w:val="0000EE"/>
                  <w:w w:val="92"/>
                </w:rPr>
                <w:t>Kingsoft Cloud Technology Co., Ltd., Beijing Yunxiang Zhisheng Technology Co., Ltd., Zhuhai Kingsoft Cloud Technology Co.,</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14"/>
          </w:tcPr>
          <w:p>
            <w:pPr>
              <w:spacing w:after="0" w:line="196" w:lineRule="exact"/>
              <w:rPr>
                <w:rFonts w:ascii="Arial" w:cs="Arial" w:eastAsia="Arial" w:hAnsi="Arial"/>
                <w:sz w:val="18"/>
                <w:szCs w:val="18"/>
                <w:color w:val="0000EE"/>
                <w:w w:val="94"/>
              </w:rPr>
            </w:pPr>
            <w:hyperlink r:id="rId388">
              <w:r>
                <w:rPr>
                  <w:rFonts w:ascii="Arial" w:cs="Arial" w:eastAsia="Arial" w:hAnsi="Arial"/>
                  <w:sz w:val="18"/>
                  <w:szCs w:val="18"/>
                  <w:color w:val="0000EE"/>
                  <w:w w:val="94"/>
                </w:rPr>
                <w:t>Ltd., Beijing Kingsoft Cloud Network Technology Co., Ltd., Hainan Chengmai Yunxiang Zhisheng Network Technology Co., Ltd.,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440" w:right="180"/>
        <w:spacing w:after="0" w:line="263" w:lineRule="auto"/>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Beijing Jinxun Ruibo Network Technology Co., Ltd., Suzhou Yunxiang Zhisheng Network Technology Co., Ltd., Shanghai Ruidian</w:t>
        </w:r>
      </w:hyperlink>
      <w:r>
        <w:rPr>
          <w:rFonts w:ascii="Arial" w:cs="Arial" w:eastAsia="Arial" w:hAnsi="Arial"/>
          <w:sz w:val="18"/>
          <w:szCs w:val="18"/>
          <w:u w:val="single" w:color="auto"/>
          <w:color w:val="0000EE"/>
        </w:rPr>
        <w:t xml:space="preserve"> </w:t>
      </w:r>
      <w:hyperlink r:id="rId388">
        <w:r>
          <w:rPr>
            <w:rFonts w:ascii="Arial" w:cs="Arial" w:eastAsia="Arial" w:hAnsi="Arial"/>
            <w:sz w:val="18"/>
            <w:szCs w:val="18"/>
            <w:u w:val="single" w:color="auto"/>
            <w:color w:val="0000EE"/>
          </w:rPr>
          <w:t>Network Technology Co., Ltd., Nanjing Qianyi Shixun Information Technology Co., Ltd., Kingsoft Corporation Limited, Autogold</w:t>
        </w:r>
      </w:hyperlink>
      <w:r>
        <w:rPr>
          <w:rFonts w:ascii="Arial" w:cs="Arial" w:eastAsia="Arial" w:hAnsi="Arial"/>
          <w:sz w:val="18"/>
          <w:szCs w:val="18"/>
          <w:u w:val="single" w:color="auto"/>
          <w:color w:val="0000EE"/>
        </w:rPr>
        <w:t xml:space="preserve"> </w:t>
      </w:r>
      <w:hyperlink r:id="rId388">
        <w:r>
          <w:rPr>
            <w:rFonts w:ascii="Arial" w:cs="Arial" w:eastAsia="Arial" w:hAnsi="Arial"/>
            <w:sz w:val="18"/>
            <w:szCs w:val="18"/>
            <w:u w:val="single" w:color="auto"/>
            <w:color w:val="0000EE"/>
          </w:rPr>
          <w:t>Limited, Mr. Yulin Wang and LIYUE JINSHI INVESTMENT L.P.</w:t>
        </w:r>
      </w:hyperlink>
    </w:p>
    <w:p>
      <w:pPr>
        <w:spacing w:after="0" w:line="116"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3980" w:type="dxa"/>
            <w:vAlign w:val="bottom"/>
            <w:gridSpan w:val="9"/>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39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740" w:type="dxa"/>
            <w:vAlign w:val="bottom"/>
          </w:tcPr>
          <w:p>
            <w:pPr>
              <w:spacing w:after="0"/>
              <w:rPr>
                <w:sz w:val="24"/>
                <w:szCs w:val="24"/>
                <w:color w:val="auto"/>
              </w:rPr>
            </w:pPr>
          </w:p>
        </w:tc>
        <w:tc>
          <w:tcPr>
            <w:tcW w:w="9400" w:type="dxa"/>
            <w:vAlign w:val="bottom"/>
            <w:tcBorders>
              <w:bottom w:val="single" w:sz="8" w:color="0000EE"/>
            </w:tcBorders>
            <w:gridSpan w:val="8"/>
          </w:tcPr>
          <w:p>
            <w:pPr>
              <w:spacing w:after="0"/>
              <w:rPr>
                <w:rFonts w:ascii="Arial" w:cs="Arial" w:eastAsia="Arial" w:hAnsi="Arial"/>
                <w:sz w:val="18"/>
                <w:szCs w:val="18"/>
                <w:color w:val="0000EE"/>
                <w:w w:val="91"/>
              </w:rPr>
            </w:pPr>
            <w:hyperlink r:id="rId390">
              <w:r>
                <w:rPr>
                  <w:rFonts w:ascii="Arial" w:cs="Arial" w:eastAsia="Arial" w:hAnsi="Arial"/>
                  <w:sz w:val="18"/>
                  <w:szCs w:val="18"/>
                  <w:color w:val="0000EE"/>
                  <w:w w:val="91"/>
                </w:rPr>
                <w:t>Share Purchase Agreement dated December 28, 2017 by and among the Registrant, Kingsoft Cloud Corporation Limited, Beijing</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90">
              <w:r>
                <w:rPr>
                  <w:rFonts w:ascii="Arial" w:cs="Arial" w:eastAsia="Arial" w:hAnsi="Arial"/>
                  <w:sz w:val="18"/>
                  <w:szCs w:val="18"/>
                  <w:color w:val="0000EE"/>
                  <w:w w:val="92"/>
                </w:rPr>
                <w:t>Kingsoft Cloud Technology Co., Ltd., Beijing Yunxiang Zhisheng Technology Co., Ltd., Zhuhai Kingsoft Cloud Technology Co.,</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EE"/>
                <w:w w:val="94"/>
              </w:rPr>
            </w:pPr>
            <w:hyperlink r:id="rId390">
              <w:r>
                <w:rPr>
                  <w:rFonts w:ascii="Arial" w:cs="Arial" w:eastAsia="Arial" w:hAnsi="Arial"/>
                  <w:sz w:val="18"/>
                  <w:szCs w:val="18"/>
                  <w:color w:val="0000EE"/>
                  <w:w w:val="94"/>
                </w:rPr>
                <w:t>Ltd., Beijing Kingsoft Cloud Network Technology Co., Ltd., Hainan Chengmai Yunxiang Zhisheng Network Technology Co., Ltd.,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90">
              <w:r>
                <w:rPr>
                  <w:rFonts w:ascii="Arial" w:cs="Arial" w:eastAsia="Arial" w:hAnsi="Arial"/>
                  <w:sz w:val="18"/>
                  <w:szCs w:val="18"/>
                  <w:color w:val="0000EE"/>
                  <w:w w:val="92"/>
                </w:rPr>
                <w:t>Beijing Jinxun Ruibo Network Technology Co., Ltd., Suzhou Yunxiang Zhisheng Network Technology Co., Ltd., Shanghai Ruidian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0" w:type="dxa"/>
            <w:vAlign w:val="bottom"/>
            <w:gridSpan w:val="12"/>
          </w:tcPr>
          <w:p>
            <w:pPr>
              <w:spacing w:after="0"/>
              <w:rPr>
                <w:rFonts w:ascii="Arial" w:cs="Arial" w:eastAsia="Arial" w:hAnsi="Arial"/>
                <w:sz w:val="18"/>
                <w:szCs w:val="18"/>
                <w:u w:val="single" w:color="auto"/>
                <w:color w:val="0000EE"/>
                <w:w w:val="94"/>
              </w:rPr>
            </w:pPr>
            <w:hyperlink r:id="rId390">
              <w:r>
                <w:rPr>
                  <w:rFonts w:ascii="Arial" w:cs="Arial" w:eastAsia="Arial" w:hAnsi="Arial"/>
                  <w:sz w:val="18"/>
                  <w:szCs w:val="18"/>
                  <w:u w:val="single" w:color="auto"/>
                  <w:color w:val="0000EE"/>
                  <w:w w:val="94"/>
                </w:rPr>
                <w:t>Network Technology Co., Ltd., Nanjing Qianyi Shixun Information Technology Co., Ltd., Kingsoft Corporation Limited, Autogold</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Limited, Mr. Yulin Wang and Shunwei Growth III Limited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740" w:type="dxa"/>
            <w:vAlign w:val="bottom"/>
          </w:tcPr>
          <w:p>
            <w:pPr>
              <w:spacing w:after="0"/>
              <w:rPr>
                <w:sz w:val="24"/>
                <w:szCs w:val="24"/>
                <w:color w:val="auto"/>
              </w:rPr>
            </w:pPr>
          </w:p>
        </w:tc>
        <w:tc>
          <w:tcPr>
            <w:tcW w:w="9180" w:type="dxa"/>
            <w:vAlign w:val="bottom"/>
            <w:tcBorders>
              <w:bottom w:val="single" w:sz="8" w:color="0000EE"/>
            </w:tcBorders>
            <w:gridSpan w:val="5"/>
          </w:tcPr>
          <w:p>
            <w:pPr>
              <w:spacing w:after="0"/>
              <w:rPr>
                <w:rFonts w:ascii="Arial" w:cs="Arial" w:eastAsia="Arial" w:hAnsi="Arial"/>
                <w:sz w:val="18"/>
                <w:szCs w:val="18"/>
                <w:color w:val="0000EE"/>
                <w:w w:val="91"/>
              </w:rPr>
            </w:pPr>
            <w:hyperlink r:id="rId391">
              <w:r>
                <w:rPr>
                  <w:rFonts w:ascii="Arial" w:cs="Arial" w:eastAsia="Arial" w:hAnsi="Arial"/>
                  <w:sz w:val="18"/>
                  <w:szCs w:val="18"/>
                  <w:color w:val="0000EE"/>
                  <w:w w:val="91"/>
                </w:rPr>
                <w:t>Share Purchase Agreement dated January 29, 2018 by and among the Registrant, Kingsoft Cloud Corporation Limited, Beijing</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91">
              <w:r>
                <w:rPr>
                  <w:rFonts w:ascii="Arial" w:cs="Arial" w:eastAsia="Arial" w:hAnsi="Arial"/>
                  <w:sz w:val="18"/>
                  <w:szCs w:val="18"/>
                  <w:color w:val="0000EE"/>
                  <w:w w:val="92"/>
                </w:rPr>
                <w:t>Kingsoft Cloud Technology Co., Ltd., Beijing Yunxiang Zhisheng Technology Co., Ltd., Zhuhai Kingsoft Cloud Technology Co.,</w:t>
              </w:r>
            </w:hyperlink>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EE"/>
                <w:w w:val="94"/>
              </w:rPr>
            </w:pPr>
            <w:hyperlink r:id="rId391">
              <w:r>
                <w:rPr>
                  <w:rFonts w:ascii="Arial" w:cs="Arial" w:eastAsia="Arial" w:hAnsi="Arial"/>
                  <w:sz w:val="18"/>
                  <w:szCs w:val="18"/>
                  <w:color w:val="0000EE"/>
                  <w:w w:val="94"/>
                </w:rPr>
                <w:t>Ltd., Beijing Kingsoft Cloud Network Technology Co., Ltd., Hainan Chengmai Yunxiang Zhisheng Network Technology Co., Ltd.,</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91">
              <w:r>
                <w:rPr>
                  <w:rFonts w:ascii="Arial" w:cs="Arial" w:eastAsia="Arial" w:hAnsi="Arial"/>
                  <w:sz w:val="18"/>
                  <w:szCs w:val="18"/>
                  <w:color w:val="0000EE"/>
                  <w:w w:val="92"/>
                </w:rPr>
                <w:t>Beijing Jinxun Ruibo Network Technology Co., Ltd., Suzhou Yunxiang Zhisheng Network Technology Co., Ltd., Shanghai Ruidian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0" w:type="dxa"/>
            <w:vAlign w:val="bottom"/>
            <w:gridSpan w:val="12"/>
          </w:tcPr>
          <w:p>
            <w:pPr>
              <w:spacing w:after="0"/>
              <w:rPr>
                <w:rFonts w:ascii="Arial" w:cs="Arial" w:eastAsia="Arial" w:hAnsi="Arial"/>
                <w:sz w:val="18"/>
                <w:szCs w:val="18"/>
                <w:u w:val="single" w:color="auto"/>
                <w:color w:val="0000EE"/>
                <w:w w:val="94"/>
              </w:rPr>
            </w:pPr>
            <w:hyperlink r:id="rId391">
              <w:r>
                <w:rPr>
                  <w:rFonts w:ascii="Arial" w:cs="Arial" w:eastAsia="Arial" w:hAnsi="Arial"/>
                  <w:sz w:val="18"/>
                  <w:szCs w:val="18"/>
                  <w:u w:val="single" w:color="auto"/>
                  <w:color w:val="0000EE"/>
                  <w:w w:val="94"/>
                </w:rPr>
                <w:t>Network Technology Co., Ltd., Nanjing Qianyi Shixun Information Technology Co., Ltd., Kingsoft Corporation Limited, Autogold</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Limited, Mr. Yulin Wang and FutureX Capital Limited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740" w:type="dxa"/>
            <w:vAlign w:val="bottom"/>
          </w:tcPr>
          <w:p>
            <w:pPr>
              <w:spacing w:after="0"/>
              <w:rPr>
                <w:sz w:val="24"/>
                <w:szCs w:val="24"/>
                <w:color w:val="auto"/>
              </w:rPr>
            </w:pPr>
          </w:p>
        </w:tc>
        <w:tc>
          <w:tcPr>
            <w:tcW w:w="9320" w:type="dxa"/>
            <w:vAlign w:val="bottom"/>
            <w:tcBorders>
              <w:bottom w:val="single" w:sz="8" w:color="0000EE"/>
            </w:tcBorders>
            <w:gridSpan w:val="6"/>
          </w:tcPr>
          <w:p>
            <w:pPr>
              <w:spacing w:after="0"/>
              <w:rPr>
                <w:rFonts w:ascii="Arial" w:cs="Arial" w:eastAsia="Arial" w:hAnsi="Arial"/>
                <w:sz w:val="18"/>
                <w:szCs w:val="18"/>
                <w:color w:val="0000EE"/>
                <w:w w:val="90"/>
              </w:rPr>
            </w:pPr>
            <w:hyperlink r:id="rId392">
              <w:r>
                <w:rPr>
                  <w:rFonts w:ascii="Arial" w:cs="Arial" w:eastAsia="Arial" w:hAnsi="Arial"/>
                  <w:sz w:val="18"/>
                  <w:szCs w:val="18"/>
                  <w:color w:val="0000EE"/>
                  <w:w w:val="90"/>
                </w:rPr>
                <w:t>Share Purchase Agreement dated December 2, 2019 by and among the Registrant, Kingsoft Cloud Corporation Limited, Kingsoft</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392">
              <w:r>
                <w:rPr>
                  <w:rFonts w:ascii="Arial" w:cs="Arial" w:eastAsia="Arial" w:hAnsi="Arial"/>
                  <w:sz w:val="18"/>
                  <w:szCs w:val="18"/>
                  <w:color w:val="0000EE"/>
                  <w:w w:val="93"/>
                </w:rPr>
                <w:t>Cloud INC., Beijing Kingsoft Cloud Technology Co., Ltd., Beijing Yunxiang Zhisheng Technology Co., Ltd., Zhuhai Kingsoft Cloud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392">
              <w:r>
                <w:rPr>
                  <w:rFonts w:ascii="Arial" w:cs="Arial" w:eastAsia="Arial" w:hAnsi="Arial"/>
                  <w:sz w:val="18"/>
                  <w:szCs w:val="18"/>
                  <w:color w:val="0000EE"/>
                  <w:w w:val="93"/>
                </w:rPr>
                <w:t>Technology Co., Ltd., Kingsoft Cloud (Beijing) Information Technology Co., Ltd., Beijing Kingsoft Cloud Network Technology Co.,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92">
              <w:r>
                <w:rPr>
                  <w:rFonts w:ascii="Arial" w:cs="Arial" w:eastAsia="Arial" w:hAnsi="Arial"/>
                  <w:sz w:val="18"/>
                  <w:szCs w:val="18"/>
                  <w:color w:val="0000EE"/>
                  <w:w w:val="92"/>
                </w:rPr>
                <w:t>Ltd., Beijing Jinxun Ruibo Network Technology Co., Ltd., Shanghai Ruidian Network Technology Co., Ltd., Nanjing Qianyi Shixun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0" w:type="dxa"/>
            <w:vAlign w:val="bottom"/>
            <w:gridSpan w:val="12"/>
          </w:tcPr>
          <w:p>
            <w:pPr>
              <w:spacing w:after="0"/>
              <w:rPr>
                <w:rFonts w:ascii="Arial" w:cs="Arial" w:eastAsia="Arial" w:hAnsi="Arial"/>
                <w:sz w:val="18"/>
                <w:szCs w:val="18"/>
                <w:u w:val="single" w:color="auto"/>
                <w:color w:val="0000EE"/>
                <w:w w:val="91"/>
              </w:rPr>
            </w:pPr>
            <w:hyperlink r:id="rId392">
              <w:r>
                <w:rPr>
                  <w:rFonts w:ascii="Arial" w:cs="Arial" w:eastAsia="Arial" w:hAnsi="Arial"/>
                  <w:sz w:val="18"/>
                  <w:szCs w:val="18"/>
                  <w:u w:val="single" w:color="auto"/>
                  <w:color w:val="0000EE"/>
                  <w:w w:val="91"/>
                </w:rPr>
                <w:t>Information Technology Co., Ltd., Suzhou Yunxiang Zhisheng Network Technology Co., Ltd., Hainan Chengmai Yunxiang Zhisheng</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Network Technology Co., Ltd., Autogold Limited, Mr. Yulin Wang and China Internet Investment Fund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10.26†</w:t>
            </w:r>
          </w:p>
        </w:tc>
        <w:tc>
          <w:tcPr>
            <w:tcW w:w="74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color w:val="0000EE"/>
                <w:w w:val="92"/>
              </w:rPr>
            </w:pPr>
            <w:hyperlink r:id="rId393">
              <w:r>
                <w:rPr>
                  <w:rFonts w:ascii="Arial" w:cs="Arial" w:eastAsia="Arial" w:hAnsi="Arial"/>
                  <w:sz w:val="18"/>
                  <w:szCs w:val="18"/>
                  <w:color w:val="0000EE"/>
                  <w:w w:val="92"/>
                </w:rPr>
                <w:t>Share Purchase Agreement dated December 16, 2019 by and among the Registrant, Kingsoft Cloud Corporation Limited, Kingsoft</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158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393">
              <w:r>
                <w:rPr>
                  <w:rFonts w:ascii="Arial" w:cs="Arial" w:eastAsia="Arial" w:hAnsi="Arial"/>
                  <w:sz w:val="18"/>
                  <w:szCs w:val="18"/>
                  <w:color w:val="0000EE"/>
                  <w:w w:val="93"/>
                </w:rPr>
                <w:t>Cloud INC., Beijing Kingsoft Cloud Technology Co., Ltd., Beijing Yunxiang Zhisheng Technology Co., Ltd., Zhuhai Kingsoft Cloud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393">
              <w:r>
                <w:rPr>
                  <w:rFonts w:ascii="Arial" w:cs="Arial" w:eastAsia="Arial" w:hAnsi="Arial"/>
                  <w:sz w:val="18"/>
                  <w:szCs w:val="18"/>
                  <w:color w:val="0000EE"/>
                  <w:w w:val="93"/>
                </w:rPr>
                <w:t>Technology Co., Ltd., Kingsoft Cloud (Beijing) Information Technology Co., Ltd., Beijing Kingsoft Cloud Network Technology Co.,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93">
              <w:r>
                <w:rPr>
                  <w:rFonts w:ascii="Arial" w:cs="Arial" w:eastAsia="Arial" w:hAnsi="Arial"/>
                  <w:sz w:val="18"/>
                  <w:szCs w:val="18"/>
                  <w:color w:val="0000EE"/>
                  <w:w w:val="92"/>
                </w:rPr>
                <w:t>Ltd., Beijing Jinxun Ruibo Network Technology Co., Ltd., Shanghai Ruidian Network Technology Co., Ltd., Nanjing Qianyi Shixun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0" w:type="dxa"/>
            <w:vAlign w:val="bottom"/>
            <w:gridSpan w:val="12"/>
          </w:tcPr>
          <w:p>
            <w:pPr>
              <w:spacing w:after="0"/>
              <w:rPr>
                <w:rFonts w:ascii="Arial" w:cs="Arial" w:eastAsia="Arial" w:hAnsi="Arial"/>
                <w:sz w:val="18"/>
                <w:szCs w:val="18"/>
                <w:u w:val="single" w:color="auto"/>
                <w:color w:val="0000EE"/>
                <w:w w:val="91"/>
              </w:rPr>
            </w:pPr>
            <w:hyperlink r:id="rId393">
              <w:r>
                <w:rPr>
                  <w:rFonts w:ascii="Arial" w:cs="Arial" w:eastAsia="Arial" w:hAnsi="Arial"/>
                  <w:sz w:val="18"/>
                  <w:szCs w:val="18"/>
                  <w:u w:val="single" w:color="auto"/>
                  <w:color w:val="0000EE"/>
                  <w:w w:val="91"/>
                </w:rPr>
                <w:t>Information Technology Co., Ltd., Suzhou Yunxiang Zhisheng Network Technology Co., Ltd., Hainan Chengmai Yunxiang Zhisheng</w:t>
              </w:r>
            </w:hyperlink>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Network Technology Co., Ltd., Autogold Limited, Mr. Yulin Wang and DESIGN TIME LIMITED</w:t>
              </w:r>
            </w:hyperlink>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740" w:type="dxa"/>
            <w:vAlign w:val="bottom"/>
          </w:tcPr>
          <w:p>
            <w:pPr>
              <w:spacing w:after="0"/>
              <w:rPr>
                <w:sz w:val="24"/>
                <w:szCs w:val="24"/>
                <w:color w:val="auto"/>
              </w:rPr>
            </w:pPr>
          </w:p>
        </w:tc>
        <w:tc>
          <w:tcPr>
            <w:tcW w:w="9400" w:type="dxa"/>
            <w:vAlign w:val="bottom"/>
            <w:tcBorders>
              <w:bottom w:val="single" w:sz="8" w:color="0000EE"/>
            </w:tcBorders>
            <w:gridSpan w:val="8"/>
          </w:tcPr>
          <w:p>
            <w:pPr>
              <w:spacing w:after="0"/>
              <w:rPr>
                <w:rFonts w:ascii="Arial" w:cs="Arial" w:eastAsia="Arial" w:hAnsi="Arial"/>
                <w:sz w:val="18"/>
                <w:szCs w:val="18"/>
                <w:color w:val="0000EE"/>
                <w:w w:val="91"/>
              </w:rPr>
            </w:pPr>
            <w:hyperlink r:id="rId394">
              <w:r>
                <w:rPr>
                  <w:rFonts w:ascii="Arial" w:cs="Arial" w:eastAsia="Arial" w:hAnsi="Arial"/>
                  <w:sz w:val="18"/>
                  <w:szCs w:val="18"/>
                  <w:color w:val="0000EE"/>
                  <w:w w:val="91"/>
                </w:rPr>
                <w:t>English translation of Technology Transfer (Patent License) Agreement dated December 18, 2019 by and among Beijing Kingsoft</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394">
              <w:r>
                <w:rPr>
                  <w:rFonts w:ascii="Arial" w:cs="Arial" w:eastAsia="Arial" w:hAnsi="Arial"/>
                  <w:sz w:val="18"/>
                  <w:szCs w:val="18"/>
                  <w:color w:val="0000EE"/>
                  <w:w w:val="93"/>
                </w:rPr>
                <w:t>Cloud Technology Co., Ltd., Beijing Kingsoft Cloud Network Technology Co., Ltd., Beijing Kingsoft Software Co., Ltd. and Zhuhai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EE"/>
              </w:rPr>
            </w:pPr>
            <w:hyperlink r:id="rId394">
              <w:r>
                <w:rPr>
                  <w:rFonts w:ascii="Arial" w:cs="Arial" w:eastAsia="Arial" w:hAnsi="Arial"/>
                  <w:sz w:val="18"/>
                  <w:szCs w:val="18"/>
                  <w:color w:val="0000EE"/>
                </w:rPr>
                <w:t>Kingsoft Software Co., Ltd.</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10.28†</w:t>
            </w:r>
          </w:p>
        </w:tc>
        <w:tc>
          <w:tcPr>
            <w:tcW w:w="740" w:type="dxa"/>
            <w:vAlign w:val="bottom"/>
          </w:tcPr>
          <w:p>
            <w:pPr>
              <w:spacing w:after="0"/>
              <w:rPr>
                <w:sz w:val="24"/>
                <w:szCs w:val="24"/>
                <w:color w:val="auto"/>
              </w:rPr>
            </w:pPr>
          </w:p>
        </w:tc>
        <w:tc>
          <w:tcPr>
            <w:tcW w:w="9600" w:type="dxa"/>
            <w:vAlign w:val="bottom"/>
            <w:tcBorders>
              <w:bottom w:val="single" w:sz="8" w:color="0000EE"/>
            </w:tcBorders>
            <w:gridSpan w:val="12"/>
          </w:tcPr>
          <w:p>
            <w:pPr>
              <w:spacing w:after="0"/>
              <w:rPr>
                <w:rFonts w:ascii="Arial" w:cs="Arial" w:eastAsia="Arial" w:hAnsi="Arial"/>
                <w:sz w:val="18"/>
                <w:szCs w:val="18"/>
                <w:color w:val="0000EE"/>
                <w:w w:val="91"/>
              </w:rPr>
            </w:pPr>
            <w:hyperlink r:id="rId395">
              <w:r>
                <w:rPr>
                  <w:rFonts w:ascii="Arial" w:cs="Arial" w:eastAsia="Arial" w:hAnsi="Arial"/>
                  <w:sz w:val="18"/>
                  <w:szCs w:val="18"/>
                  <w:color w:val="0000EE"/>
                  <w:w w:val="91"/>
                </w:rPr>
                <w:t>English translation of Trademark License Agreement dated December 18, 2019 by and among Kingsoft Corporation Limited, Beijing</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EE"/>
              </w:rPr>
            </w:pPr>
            <w:hyperlink r:id="rId395">
              <w:r>
                <w:rPr>
                  <w:rFonts w:ascii="Arial" w:cs="Arial" w:eastAsia="Arial" w:hAnsi="Arial"/>
                  <w:sz w:val="18"/>
                  <w:szCs w:val="18"/>
                  <w:color w:val="0000EE"/>
                </w:rPr>
                <w:t>Kingsoft Digital Entertainment Technology Co., Ltd., Zhuhai Kingsoft Software Co., Ltd. and the Registrant</w:t>
              </w:r>
            </w:hyperlink>
          </w:p>
        </w:tc>
        <w:tc>
          <w:tcPr>
            <w:tcW w:w="0" w:type="dxa"/>
            <w:vAlign w:val="bottom"/>
          </w:tcPr>
          <w:p>
            <w:pPr>
              <w:spacing w:after="0"/>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24"/>
                <w:szCs w:val="24"/>
                <w:color w:val="auto"/>
              </w:rPr>
            </w:pPr>
          </w:p>
        </w:tc>
        <w:tc>
          <w:tcPr>
            <w:tcW w:w="78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r:id="rId396">
              <w:r>
                <w:rPr>
                  <w:rFonts w:ascii="Arial" w:cs="Arial" w:eastAsia="Arial" w:hAnsi="Arial"/>
                  <w:sz w:val="18"/>
                  <w:szCs w:val="18"/>
                  <w:u w:val="single" w:color="auto"/>
                  <w:color w:val="0000EE"/>
                </w:rPr>
                <w:t>Principal Subsidiaries and VIEs of the Registrant</w:t>
              </w:r>
            </w:hyperlink>
          </w:p>
        </w:tc>
        <w:tc>
          <w:tcPr>
            <w:tcW w:w="17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w:anchor="page435">
              <w:r>
                <w:rPr>
                  <w:rFonts w:ascii="Arial" w:cs="Arial" w:eastAsia="Arial" w:hAnsi="Arial"/>
                  <w:sz w:val="18"/>
                  <w:szCs w:val="18"/>
                  <w:u w:val="single" w:color="auto"/>
                  <w:color w:val="0000EE"/>
                </w:rPr>
                <w:t>Consent of Ernst &amp; Young Hua Ming LLP, Independent Registered Public Accounting Firm</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Consent of Conyers Dill &amp; Pearman (included in Exhibit 5.1)</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23.3†</w:t>
            </w:r>
          </w:p>
        </w:tc>
        <w:tc>
          <w:tcPr>
            <w:tcW w:w="74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Consent of Fangda Partners (included in Exhibit 99.2)</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23.4†</w:t>
            </w:r>
          </w:p>
        </w:tc>
        <w:tc>
          <w:tcPr>
            <w:tcW w:w="74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97">
              <w:r>
                <w:rPr>
                  <w:rFonts w:ascii="Arial" w:cs="Arial" w:eastAsia="Arial" w:hAnsi="Arial"/>
                  <w:sz w:val="18"/>
                  <w:szCs w:val="18"/>
                  <w:u w:val="single" w:color="auto"/>
                  <w:color w:val="0000EE"/>
                </w:rPr>
                <w:t>Consent of Davis Polk &amp; Wardwell LLP (included in Exhibit 8.3)</w:t>
              </w:r>
            </w:hyperlink>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9600" w:type="dxa"/>
            <w:vAlign w:val="bottom"/>
            <w:gridSpan w:val="12"/>
          </w:tcPr>
          <w:p>
            <w:pPr>
              <w:spacing w:after="0"/>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Powers of Attorney (included on signature page)</w:t>
              </w:r>
            </w:hyperlink>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0" w:type="dxa"/>
            <w:vAlign w:val="bottom"/>
            <w:gridSpan w:val="11"/>
          </w:tcPr>
          <w:p>
            <w:pPr>
              <w:ind w:left="2040"/>
              <w:spacing w:after="0"/>
              <w:rPr>
                <w:sz w:val="20"/>
                <w:szCs w:val="20"/>
                <w:color w:val="auto"/>
              </w:rPr>
            </w:pPr>
            <w:r>
              <w:rPr>
                <w:rFonts w:ascii="Arial" w:cs="Arial" w:eastAsia="Arial" w:hAnsi="Arial"/>
                <w:sz w:val="18"/>
                <w:szCs w:val="18"/>
                <w:color w:val="auto"/>
              </w:rPr>
              <w:t>II-7</w:t>
            </w: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8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99.1†</w:t>
            </w:r>
          </w:p>
        </w:tc>
        <w:tc>
          <w:tcPr>
            <w:tcW w:w="6400" w:type="dxa"/>
            <w:vAlign w:val="bottom"/>
            <w:gridSpan w:val="2"/>
          </w:tcPr>
          <w:p>
            <w:pPr>
              <w:ind w:left="780"/>
              <w:spacing w:after="0"/>
              <w:rPr>
                <w:rFonts w:ascii="Arial" w:cs="Arial" w:eastAsia="Arial" w:hAnsi="Arial"/>
                <w:sz w:val="18"/>
                <w:szCs w:val="18"/>
                <w:u w:val="single" w:color="auto"/>
                <w:color w:val="0000EE"/>
              </w:rPr>
            </w:pPr>
            <w:hyperlink r:id="rId400">
              <w:r>
                <w:rPr>
                  <w:rFonts w:ascii="Arial" w:cs="Arial" w:eastAsia="Arial" w:hAnsi="Arial"/>
                  <w:sz w:val="18"/>
                  <w:szCs w:val="18"/>
                  <w:u w:val="single" w:color="auto"/>
                  <w:color w:val="0000EE"/>
                </w:rPr>
                <w:t>Code of Business Conduct and Ethics of the Registrant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99.2†</w:t>
            </w:r>
          </w:p>
        </w:tc>
        <w:tc>
          <w:tcPr>
            <w:tcW w:w="6400" w:type="dxa"/>
            <w:vAlign w:val="bottom"/>
            <w:gridSpan w:val="2"/>
          </w:tcPr>
          <w:p>
            <w:pPr>
              <w:ind w:left="780"/>
              <w:spacing w:after="0"/>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Opinion of Fangda Partners regarding certain PRC law matters</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99.3†</w:t>
            </w:r>
          </w:p>
        </w:tc>
        <w:tc>
          <w:tcPr>
            <w:tcW w:w="6400" w:type="dxa"/>
            <w:vAlign w:val="bottom"/>
            <w:gridSpan w:val="2"/>
          </w:tcPr>
          <w:p>
            <w:pPr>
              <w:ind w:left="780"/>
              <w:spacing w:after="0"/>
              <w:rPr>
                <w:rFonts w:ascii="Arial" w:cs="Arial" w:eastAsia="Arial" w:hAnsi="Arial"/>
                <w:sz w:val="18"/>
                <w:szCs w:val="18"/>
                <w:u w:val="single" w:color="auto"/>
                <w:color w:val="0000EE"/>
              </w:rPr>
            </w:pPr>
            <w:hyperlink r:id="rId401">
              <w:r>
                <w:rPr>
                  <w:rFonts w:ascii="Arial" w:cs="Arial" w:eastAsia="Arial" w:hAnsi="Arial"/>
                  <w:sz w:val="18"/>
                  <w:szCs w:val="18"/>
                  <w:u w:val="single" w:color="auto"/>
                  <w:color w:val="0000EE"/>
                </w:rPr>
                <w:t>Consent of Frost &amp; Sullivan</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99.4†</w:t>
            </w:r>
          </w:p>
        </w:tc>
        <w:tc>
          <w:tcPr>
            <w:tcW w:w="6400" w:type="dxa"/>
            <w:vAlign w:val="bottom"/>
            <w:gridSpan w:val="2"/>
          </w:tcPr>
          <w:p>
            <w:pPr>
              <w:ind w:left="780"/>
              <w:spacing w:after="0"/>
              <w:rPr>
                <w:rFonts w:ascii="Arial" w:cs="Arial" w:eastAsia="Arial" w:hAnsi="Arial"/>
                <w:sz w:val="18"/>
                <w:szCs w:val="18"/>
                <w:u w:val="single" w:color="auto"/>
                <w:color w:val="0000EE"/>
              </w:rPr>
            </w:pPr>
            <w:hyperlink r:id="rId402">
              <w:r>
                <w:rPr>
                  <w:rFonts w:ascii="Arial" w:cs="Arial" w:eastAsia="Arial" w:hAnsi="Arial"/>
                  <w:sz w:val="18"/>
                  <w:szCs w:val="18"/>
                  <w:u w:val="single" w:color="auto"/>
                  <w:color w:val="0000EE"/>
                </w:rPr>
                <w:t>Consent of Hang Wang</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99.5†</w:t>
            </w:r>
          </w:p>
        </w:tc>
        <w:tc>
          <w:tcPr>
            <w:tcW w:w="6400" w:type="dxa"/>
            <w:vAlign w:val="bottom"/>
            <w:gridSpan w:val="2"/>
          </w:tcPr>
          <w:p>
            <w:pPr>
              <w:ind w:left="780"/>
              <w:spacing w:after="0"/>
              <w:rPr>
                <w:rFonts w:ascii="Arial" w:cs="Arial" w:eastAsia="Arial" w:hAnsi="Arial"/>
                <w:sz w:val="18"/>
                <w:szCs w:val="18"/>
                <w:u w:val="single" w:color="auto"/>
                <w:color w:val="0000EE"/>
              </w:rPr>
            </w:pPr>
            <w:hyperlink r:id="rId403">
              <w:r>
                <w:rPr>
                  <w:rFonts w:ascii="Arial" w:cs="Arial" w:eastAsia="Arial" w:hAnsi="Arial"/>
                  <w:sz w:val="18"/>
                  <w:szCs w:val="18"/>
                  <w:u w:val="single" w:color="auto"/>
                  <w:color w:val="0000EE"/>
                </w:rPr>
                <w:t>Consent of Mingto Yu</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Previously filed.</w:t>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139"/>
          </w:cols>
          <w:pgMar w:left="320" w:top="459" w:right="1440"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Beijing, the People’s Republic of China, on May 4, 2020.</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Kingsoft Cloud Holdings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Yulin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Yulin Wang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4, 2020 in the capacities indicated: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600" w:type="dxa"/>
            <w:vAlign w:val="bottom"/>
          </w:tcPr>
          <w:p>
            <w:pPr>
              <w:spacing w:after="0"/>
              <w:rPr>
                <w:sz w:val="14"/>
                <w:szCs w:val="14"/>
                <w:color w:val="auto"/>
              </w:rPr>
            </w:pPr>
          </w:p>
        </w:tc>
        <w:tc>
          <w:tcPr>
            <w:tcW w:w="23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26"/>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Chairman of the Board of Directors</w:t>
            </w:r>
          </w:p>
        </w:tc>
      </w:tr>
      <w:tr>
        <w:trPr>
          <w:trHeight w:val="224"/>
        </w:trPr>
        <w:tc>
          <w:tcPr>
            <w:tcW w:w="2560" w:type="dxa"/>
            <w:vAlign w:val="bottom"/>
          </w:tcPr>
          <w:p>
            <w:pPr>
              <w:spacing w:after="0"/>
              <w:rPr>
                <w:sz w:val="19"/>
                <w:szCs w:val="19"/>
                <w:color w:val="auto"/>
              </w:rPr>
            </w:pPr>
          </w:p>
        </w:tc>
        <w:tc>
          <w:tcPr>
            <w:tcW w:w="3160" w:type="dxa"/>
            <w:vAlign w:val="bottom"/>
            <w:gridSpan w:val="2"/>
          </w:tcPr>
          <w:p>
            <w:pPr>
              <w:jc w:val="center"/>
              <w:ind w:right="2560"/>
              <w:spacing w:after="0"/>
              <w:rPr>
                <w:sz w:val="20"/>
                <w:szCs w:val="20"/>
                <w:color w:val="auto"/>
              </w:rPr>
            </w:pPr>
            <w:r>
              <w:rPr>
                <w:rFonts w:ascii="Arial" w:cs="Arial" w:eastAsia="Arial" w:hAnsi="Arial"/>
                <w:sz w:val="18"/>
                <w:szCs w:val="18"/>
                <w:color w:val="auto"/>
                <w:w w:val="89"/>
              </w:rPr>
              <w:t>Jun Lei</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3160" w:type="dxa"/>
            <w:vAlign w:val="bottom"/>
            <w:tcBorders>
              <w:bottom w:val="single" w:sz="8" w:color="auto"/>
            </w:tcBorders>
            <w:gridSpan w:val="2"/>
          </w:tcPr>
          <w:p>
            <w:pPr>
              <w:jc w:val="center"/>
              <w:ind w:left="2472"/>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10"/>
              <w:spacing w:after="0"/>
              <w:rPr>
                <w:sz w:val="20"/>
                <w:szCs w:val="20"/>
                <w:color w:val="auto"/>
              </w:rPr>
            </w:pPr>
            <w:r>
              <w:rPr>
                <w:rFonts w:ascii="Arial" w:cs="Arial" w:eastAsia="Arial" w:hAnsi="Arial"/>
                <w:sz w:val="18"/>
                <w:szCs w:val="18"/>
                <w:color w:val="auto"/>
                <w:w w:val="92"/>
              </w:rPr>
              <w:t>Vice Chairman of the Board of Directors</w:t>
            </w:r>
          </w:p>
        </w:tc>
      </w:tr>
      <w:tr>
        <w:trPr>
          <w:trHeight w:val="224"/>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89"/>
              </w:rPr>
              <w:t>Tao Zou</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Yulin Wang</w:t>
            </w: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3"/>
              </w:rPr>
              <w:t>Director, Chief Executive Officer</w:t>
            </w:r>
          </w:p>
        </w:tc>
      </w:tr>
      <w:tr>
        <w:trPr>
          <w:trHeight w:val="224"/>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1"/>
              </w:rPr>
              <w:t>Yulin Wang</w:t>
            </w:r>
          </w:p>
        </w:tc>
        <w:tc>
          <w:tcPr>
            <w:tcW w:w="4900" w:type="dxa"/>
            <w:vAlign w:val="bottom"/>
            <w:gridSpan w:val="3"/>
          </w:tcPr>
          <w:p>
            <w:pPr>
              <w:jc w:val="center"/>
              <w:ind w:left="510"/>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3160" w:type="dxa"/>
            <w:vAlign w:val="bottom"/>
            <w:tcBorders>
              <w:bottom w:val="single" w:sz="8" w:color="auto"/>
            </w:tcBorders>
            <w:gridSpan w:val="2"/>
          </w:tcPr>
          <w:p>
            <w:pPr>
              <w:jc w:val="center"/>
              <w:ind w:left="2472"/>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6"/>
              </w:rPr>
              <w:t>Haijian He</w:t>
            </w:r>
          </w:p>
        </w:tc>
        <w:tc>
          <w:tcPr>
            <w:tcW w:w="4900" w:type="dxa"/>
            <w:vAlign w:val="bottom"/>
            <w:gridSpan w:val="3"/>
          </w:tcPr>
          <w:p>
            <w:pPr>
              <w:jc w:val="center"/>
              <w:ind w:left="510"/>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431"/>
        </w:trPr>
        <w:tc>
          <w:tcPr>
            <w:tcW w:w="3160" w:type="dxa"/>
            <w:vAlign w:val="bottom"/>
            <w:tcBorders>
              <w:bottom w:val="single" w:sz="8" w:color="auto"/>
            </w:tcBorders>
            <w:gridSpan w:val="2"/>
          </w:tcPr>
          <w:p>
            <w:pPr>
              <w:jc w:val="center"/>
              <w:ind w:left="2472"/>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r>
      <w:tr>
        <w:trPr>
          <w:trHeight w:val="224"/>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1"/>
              </w:rPr>
              <w:t>Shou Zi Chew</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31"/>
        </w:trPr>
        <w:tc>
          <w:tcPr>
            <w:tcW w:w="3160" w:type="dxa"/>
            <w:vAlign w:val="bottom"/>
            <w:tcBorders>
              <w:bottom w:val="single" w:sz="8" w:color="auto"/>
            </w:tcBorders>
            <w:gridSpan w:val="2"/>
          </w:tcPr>
          <w:p>
            <w:pPr>
              <w:jc w:val="center"/>
              <w:ind w:left="2472"/>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spacing w:after="0"/>
              <w:rPr>
                <w:sz w:val="24"/>
                <w:szCs w:val="24"/>
                <w:color w:val="auto"/>
              </w:rPr>
            </w:pPr>
          </w:p>
        </w:tc>
        <w:tc>
          <w:tcPr>
            <w:tcW w:w="49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Independent Director</w:t>
            </w:r>
          </w:p>
        </w:tc>
      </w:tr>
      <w:tr>
        <w:trPr>
          <w:trHeight w:val="224"/>
        </w:trPr>
        <w:tc>
          <w:tcPr>
            <w:tcW w:w="5720" w:type="dxa"/>
            <w:vAlign w:val="bottom"/>
            <w:gridSpan w:val="3"/>
          </w:tcPr>
          <w:p>
            <w:pPr>
              <w:jc w:val="center"/>
              <w:spacing w:after="0"/>
              <w:rPr>
                <w:sz w:val="20"/>
                <w:szCs w:val="20"/>
                <w:color w:val="auto"/>
              </w:rPr>
            </w:pPr>
            <w:r>
              <w:rPr>
                <w:rFonts w:ascii="Arial" w:cs="Arial" w:eastAsia="Arial" w:hAnsi="Arial"/>
                <w:sz w:val="18"/>
                <w:szCs w:val="18"/>
                <w:color w:val="auto"/>
                <w:w w:val="96"/>
              </w:rPr>
              <w:t>Kuiguang Niu</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Yulin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203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 Yulin Wang</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0940"/>
          </w:cols>
          <w:pgMar w:left="320" w:top="459" w:right="6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Kingsoft Cloud Holdings Limited, has signed this registration statement or amendment thereto in New York on May 4, 2020.</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Authorized U.S. Representative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Cogency Global Inc.</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0580"/>
          </w:cols>
          <w:pgMar w:left="320" w:top="459" w:right="99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Kingsoft Cloud Holdings Limited</w:t>
      </w:r>
    </w:p>
    <w:p>
      <w:pPr>
        <w:spacing w:after="0" w:line="229" w:lineRule="exact"/>
        <w:rPr>
          <w:sz w:val="20"/>
          <w:szCs w:val="20"/>
          <w:color w:val="auto"/>
        </w:rPr>
      </w:pPr>
    </w:p>
    <w:p>
      <w:pPr>
        <w:ind w:left="4820" w:hanging="815"/>
        <w:spacing w:after="0"/>
        <w:tabs>
          <w:tab w:leader="none" w:pos="48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American Depositary Shares</w:t>
      </w:r>
    </w:p>
    <w:p>
      <w:pPr>
        <w:spacing w:after="0" w:line="225" w:lineRule="exact"/>
        <w:rPr>
          <w:sz w:val="20"/>
          <w:szCs w:val="20"/>
          <w:color w:val="auto"/>
        </w:rPr>
      </w:pPr>
    </w:p>
    <w:p>
      <w:pPr>
        <w:ind w:left="2800"/>
        <w:spacing w:after="0"/>
        <w:tabs>
          <w:tab w:leader="none" w:pos="4600" w:val="left"/>
        </w:tabs>
        <w:rPr>
          <w:sz w:val="20"/>
          <w:szCs w:val="20"/>
          <w:color w:val="auto"/>
        </w:rPr>
      </w:pPr>
      <w:r>
        <w:rPr>
          <w:rFonts w:ascii="Arial" w:cs="Arial" w:eastAsia="Arial" w:hAnsi="Arial"/>
          <w:sz w:val="18"/>
          <w:szCs w:val="18"/>
          <w:color w:val="auto"/>
        </w:rPr>
        <w:t>Representing [</w:t>
      </w:r>
      <w:r>
        <w:rPr>
          <w:sz w:val="20"/>
          <w:szCs w:val="20"/>
          <w:color w:val="auto"/>
        </w:rPr>
        <w:tab/>
      </w:r>
      <w:r>
        <w:rPr>
          <w:rFonts w:ascii="Arial" w:cs="Arial" w:eastAsia="Arial" w:hAnsi="Arial"/>
          <w:sz w:val="16"/>
          <w:szCs w:val="16"/>
          <w:color w:val="auto"/>
        </w:rPr>
        <w:t>] Ordinary Shares (par value US$0.001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tbl>
      <w:tblPr>
        <w:tblLayout w:type="fixed"/>
        <w:tblInd w:w="9680" w:type="dxa"/>
        <w:tblCellMar>
          <w:top w:w="0" w:type="dxa"/>
          <w:left w:w="0" w:type="dxa"/>
          <w:bottom w:w="0" w:type="dxa"/>
          <w:right w:w="0" w:type="dxa"/>
        </w:tblCellMar>
      </w:tblPr>
      <w:tr>
        <w:trPr>
          <w:trHeight w:val="230"/>
        </w:trPr>
        <w:tc>
          <w:tcPr>
            <w:tcW w:w="440" w:type="dxa"/>
            <w:vAlign w:val="bottom"/>
          </w:tcPr>
          <w:p>
            <w:pPr>
              <w:jc w:val="right"/>
              <w:ind w:right="290"/>
              <w:spacing w:after="0"/>
              <w:rPr>
                <w:sz w:val="20"/>
                <w:szCs w:val="20"/>
                <w:color w:val="auto"/>
              </w:rPr>
            </w:pPr>
            <w:r>
              <w:rPr>
                <w:rFonts w:ascii="Arial" w:cs="Arial" w:eastAsia="Arial" w:hAnsi="Arial"/>
                <w:sz w:val="18"/>
                <w:szCs w:val="18"/>
                <w:color w:val="auto"/>
                <w:w w:val="78"/>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60" w:firstLine="440"/>
        <w:spacing w:after="0" w:line="291" w:lineRule="auto"/>
        <w:rPr>
          <w:sz w:val="20"/>
          <w:szCs w:val="20"/>
          <w:color w:val="auto"/>
        </w:rPr>
      </w:pPr>
      <w:r>
        <w:rPr>
          <w:rFonts w:ascii="Arial" w:cs="Arial" w:eastAsia="Arial" w:hAnsi="Arial"/>
          <w:sz w:val="16"/>
          <w:szCs w:val="16"/>
          <w:color w:val="auto"/>
        </w:rPr>
        <w:t>Kingsoft Cloud Holdings Limited, an exempted company incorporated under the laws of the Cayman Islands (the “Company”), proposes to issue and sell to the several underwriters listed in Schedule 1 hereto (the “Underwriters”), for whom you are acting as representatives (the “Representatives”),</w:t>
      </w:r>
    </w:p>
    <w:p>
      <w:pPr>
        <w:ind w:right="40"/>
        <w:spacing w:after="0" w:line="265" w:lineRule="auto"/>
        <w:rPr>
          <w:sz w:val="20"/>
          <w:szCs w:val="20"/>
          <w:color w:val="auto"/>
        </w:rPr>
      </w:pPr>
      <w:r>
        <w:rPr>
          <w:rFonts w:ascii="Arial" w:cs="Arial" w:eastAsia="Arial" w:hAnsi="Arial"/>
          <w:sz w:val="17"/>
          <w:szCs w:val="17"/>
          <w:color w:val="auto"/>
        </w:rPr>
        <w:t>an aggregate of [ ] American Depositary Shares (“ADSs”), each ADS representing [ ] ordinary share[s], par value US$ 0.001 per share, of the Company (the “Ordinary Shares”) (collectively, the “Firm Securities”). In addition, the Company proposes to issue and sell, at the option of</w:t>
      </w:r>
    </w:p>
    <w:p>
      <w:pPr>
        <w:ind w:right="180"/>
        <w:spacing w:after="0" w:line="265" w:lineRule="auto"/>
        <w:rPr>
          <w:sz w:val="20"/>
          <w:szCs w:val="20"/>
          <w:color w:val="auto"/>
        </w:rPr>
      </w:pPr>
      <w:r>
        <w:rPr>
          <w:rFonts w:ascii="Arial" w:cs="Arial" w:eastAsia="Arial" w:hAnsi="Arial"/>
          <w:sz w:val="17"/>
          <w:szCs w:val="17"/>
          <w:color w:val="auto"/>
        </w:rPr>
        <w:t>the Underwriters, up to an additional [ ] ADSs (the “Option Securities”). The Firm Securities and the Option Securities are herein referred to as the “Offered Securities.” The ADSs are to be issued pursuant to a Deposit Agreement dated as of [ ], 2020 (the “Deposit Agreement”, and</w:t>
      </w:r>
    </w:p>
    <w:p>
      <w:pPr>
        <w:ind w:right="140"/>
        <w:spacing w:after="0" w:line="273" w:lineRule="auto"/>
        <w:rPr>
          <w:sz w:val="20"/>
          <w:szCs w:val="20"/>
          <w:color w:val="auto"/>
        </w:rPr>
      </w:pPr>
      <w:r>
        <w:rPr>
          <w:rFonts w:ascii="Arial" w:cs="Arial" w:eastAsia="Arial" w:hAnsi="Arial"/>
          <w:sz w:val="17"/>
          <w:szCs w:val="17"/>
          <w:color w:val="auto"/>
        </w:rPr>
        <w:t>together with this Agreement, the “Transaction Documents”) among the Company, The Bank of New York Mellon, as Depositary (the “Depositary”), and the owners and holders from time to time of the American Depositary Receipts (the “ADRs”) issued by the Depositary evidencing the ADSs under the Deposit Agreement. Unless the context otherwise requires, each reference to the Firm Securities, the Option Securities or the Offered Securities herein also includes the underlying Ordinary Shares (hereinafter referred to as the “Offered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90" w:name="page291"/>
    <w:bookmarkEnd w:id="290"/>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hereby confirms their agreement with the several Underwriters concerning the purchase and sale of the Offered Securities, as follows:</w:t>
      </w:r>
    </w:p>
    <w:p>
      <w:pPr>
        <w:spacing w:after="0" w:line="62" w:lineRule="exact"/>
        <w:rPr>
          <w:sz w:val="20"/>
          <w:szCs w:val="20"/>
          <w:color w:val="auto"/>
        </w:rPr>
      </w:pPr>
    </w:p>
    <w:p>
      <w:pPr>
        <w:ind w:firstLine="436"/>
        <w:spacing w:after="0" w:line="285" w:lineRule="auto"/>
        <w:tabs>
          <w:tab w:leader="none" w:pos="62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United States Securities and Exchange Commission (the “Commission”) under the Securities Act of 1933, as amended, and the rules and regulations of the Commission thereunder (collectively, the “Securities Act”), a registration statement on Form F-1 (File No. 333-_____), including a prospectus, relating to the Ordinary Shares represented by the ADS.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Offered Securities.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 The Company has also filed with the Commission a registration statement on Form F-6 (File No. 333-_____) relating to the ADSs. The registration statement relating to the ADSs, as amended at the time it becomes effective, is hereinafter referred to as the “ADS Registration Statement.” In addition, the Company has filed, in accordance with Section 12 of the U.S. Securities Exchange Act of 1934, as amended (the “Exchange Act”), a registration statement on Form 8-A to register the Ordinary Shares and the ADSs (the “Form 8-A Registration Statement”). At or prior to the Applicable Time (as defined below), the Company had prepared the following information (collectively with the pricing information set forth on Annex A, the “Pricing Disclosure Package”): a Preliminary Prospectus dated _____________, 2020 and each “free-writing prospectus” (as defined pursuant to Rule 405 under the Securities Act) listed on Annex A hereto.</w:t>
      </w:r>
    </w:p>
    <w:p>
      <w:pPr>
        <w:spacing w:after="0" w:line="169" w:lineRule="exact"/>
        <w:rPr>
          <w:sz w:val="20"/>
          <w:szCs w:val="20"/>
          <w:color w:val="auto"/>
        </w:rPr>
      </w:pPr>
    </w:p>
    <w:p>
      <w:pPr>
        <w:ind w:left="440"/>
        <w:spacing w:after="0"/>
        <w:tabs>
          <w:tab w:leader="none" w:pos="3120" w:val="left"/>
          <w:tab w:leader="none" w:pos="6440" w:val="left"/>
        </w:tabs>
        <w:rPr>
          <w:sz w:val="20"/>
          <w:szCs w:val="20"/>
          <w:color w:val="auto"/>
        </w:rPr>
      </w:pPr>
      <w:r>
        <w:rPr>
          <w:rFonts w:ascii="Arial" w:cs="Arial" w:eastAsia="Arial" w:hAnsi="Arial"/>
          <w:sz w:val="18"/>
          <w:szCs w:val="18"/>
          <w:color w:val="auto"/>
        </w:rPr>
        <w:t>“Applicable Time” means [</w:t>
      </w:r>
      <w:r>
        <w:rPr>
          <w:sz w:val="20"/>
          <w:szCs w:val="20"/>
          <w:color w:val="auto"/>
        </w:rPr>
        <w:tab/>
      </w:r>
      <w:r>
        <w:rPr>
          <w:rFonts w:ascii="Arial" w:cs="Arial" w:eastAsia="Arial" w:hAnsi="Arial"/>
          <w:sz w:val="18"/>
          <w:szCs w:val="18"/>
          <w:color w:val="auto"/>
        </w:rPr>
        <w:t>] [A/P].M., New York City time, on</w:t>
      </w:r>
      <w:r>
        <w:rPr>
          <w:sz w:val="20"/>
          <w:szCs w:val="20"/>
          <w:color w:val="auto"/>
        </w:rPr>
        <w:tab/>
      </w:r>
      <w:r>
        <w:rPr>
          <w:rFonts w:ascii="Arial" w:cs="Arial" w:eastAsia="Arial" w:hAnsi="Arial"/>
          <w:sz w:val="16"/>
          <w:szCs w:val="16"/>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-10160</wp:posOffset>
            </wp:positionV>
            <wp:extent cx="4572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ind w:left="620" w:hanging="184"/>
        <w:spacing w:after="0"/>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Purchase of the Offered Securities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79" w:lineRule="auto"/>
        <w:tabs>
          <w:tab w:leader="none" w:pos="68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agrees to issue and sell the Firm Securities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ADS of US$[______ ] (the “Purchase Price”) from the Company the respective number of Firm Securities set forth opposite such Underwriter’s name in Schedule 1 hereto.</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91" w:name="page292"/>
    <w:bookmarkEnd w:id="291"/>
    <w:p>
      <w:pPr>
        <w:ind w:right="6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 less an amount per share equal to any dividends or distributions declared by the Company and payable on the Firm Securities but not payable on the Option Securities. If any Option Securities are to be purchased, the number of Option Securities to be purchased by each Underwriter shall be the number of Option Securities which bears the same ratio to the aggregate number of Option Securities being purchased as the number of Firm Securities set forth opposite the name of such Underwriter in Schedule 1 hereto (or such number increased as set forth in Section 10 hereof) bears to the aggregate number of Firm Securities being purchased from the Company by the several Underwriters, subject, however, to such adjustments to eliminate any fractional shares as the Representatives in their sole discretion shall make.</w:t>
      </w:r>
    </w:p>
    <w:p>
      <w:pPr>
        <w:spacing w:after="0" w:line="18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number of Option Securities as to which the option is being exercised and the date and time when the Option Securities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56" w:lineRule="exact"/>
        <w:rPr>
          <w:sz w:val="20"/>
          <w:szCs w:val="20"/>
          <w:color w:val="auto"/>
        </w:rPr>
      </w:pPr>
    </w:p>
    <w:p>
      <w:pPr>
        <w:ind w:right="80" w:firstLine="436"/>
        <w:spacing w:after="0" w:line="263"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Offered Securities, and initially to offer the Offered Securities on the terms set forth in the Pricing Disclosure Package. The Company acknowledges and agrees that the Underwriters may offer and sell the Offered Securities to or through any affiliate of an Underwriter.</w:t>
      </w:r>
    </w:p>
    <w:p>
      <w:pPr>
        <w:spacing w:after="0" w:line="75" w:lineRule="exact"/>
        <w:rPr>
          <w:rFonts w:ascii="Arial" w:cs="Arial" w:eastAsia="Arial" w:hAnsi="Arial"/>
          <w:sz w:val="18"/>
          <w:szCs w:val="18"/>
          <w:color w:val="auto"/>
        </w:rPr>
      </w:pPr>
    </w:p>
    <w:p>
      <w:pPr>
        <w:ind w:firstLine="436"/>
        <w:spacing w:after="0" w:line="254"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Payment for the Offered Securities shall be made by wire transfer in immediately available funds to the accounts specified by the Company, to the Representatives [in the case of the Firm Securities, ] at the offices of Kirkland &amp; Ellis International LLP at [10:00] A.M. New York City time on [_____ , 20__], or at such other time or place on the 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Firm Securities is referred to herein as the “Closing Date,” and the time and date for such payment for the Option Securities, if other than the Closing Date, is herein referred to as the “Additional Closing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2" w:name="page293"/>
    <w:bookmarkEnd w:id="292"/>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for the Offered Securities to be purchased on the Closing Date or the Additional Closing Date, as the case may be shall be made against delivery to the Representatives for the respective accounts of the several Underwriters of the Offered Securities to be purchased on such date in definitive form registered in such names and in such denominations as the Representatives shall request in writing not later than two full business days prior to the Closing Date or the Additional Closing Date, as the case may be with any transfer taxes payable in connection with the sale of such Offered Securities duly paid by the Company. Delivery of the Offered Securities shall be made through the facilities of The Depository Trust Company (“DTC”) unless the Representatives shall otherwise instruct. The certificates for the Offered Securities will be made available for inspection and packaging by the Representatives at the office of DTC or its designated custodian not later than 1:00 P.M., New York City time, on the business day prior to the Closing Date or the Additional Closing Date, as the case may be.</w:t>
      </w:r>
    </w:p>
    <w:p>
      <w:pPr>
        <w:spacing w:after="0" w:line="70" w:lineRule="exact"/>
        <w:rPr>
          <w:sz w:val="20"/>
          <w:szCs w:val="20"/>
          <w:color w:val="auto"/>
        </w:rPr>
      </w:pPr>
    </w:p>
    <w:p>
      <w:pPr>
        <w:ind w:firstLine="436"/>
        <w:spacing w:after="0" w:line="270" w:lineRule="auto"/>
        <w:tabs>
          <w:tab w:leader="none" w:pos="69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acknowledges and agrees that the Representatives and the other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neither any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any other Underwriter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sz w:val="20"/>
          <w:szCs w:val="20"/>
          <w:color w:val="auto"/>
        </w:rPr>
      </w:pPr>
    </w:p>
    <w:p>
      <w:pPr>
        <w:ind w:right="80" w:firstLine="436"/>
        <w:spacing w:after="0" w:line="271" w:lineRule="auto"/>
        <w:tabs>
          <w:tab w:leader="none" w:pos="685"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included in the Pricing Disclosure Package, the Registration Statement, the ADS Registration Statement and the Form 8-A Registration Statement, at the time of filing thereof, complied in all material respects with the Securities Act, and did not, at the time of filing thereof,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3" w:name="page294"/>
    <w:bookmarkEnd w:id="293"/>
    <w:p>
      <w:pPr>
        <w:ind w:left="4" w:right="20" w:firstLine="436"/>
        <w:spacing w:after="0" w:line="290" w:lineRule="auto"/>
        <w:tabs>
          <w:tab w:leader="none" w:pos="699"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Pricing Disclosure Package</w:t>
      </w:r>
      <w:r>
        <w:rPr>
          <w:rFonts w:ascii="Arial" w:cs="Arial" w:eastAsia="Arial" w:hAnsi="Arial"/>
          <w:sz w:val="16"/>
          <w:szCs w:val="16"/>
          <w:color w:val="auto"/>
        </w:rPr>
        <w:t>.(c) The Pricing Disclosure Package as of the Applicable Time did not, and as of the Closing Date and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57" w:lineRule="exact"/>
        <w:rPr>
          <w:sz w:val="20"/>
          <w:szCs w:val="20"/>
          <w:color w:val="auto"/>
        </w:rPr>
      </w:pPr>
    </w:p>
    <w:p>
      <w:pPr>
        <w:ind w:left="4" w:right="60" w:firstLine="436"/>
        <w:spacing w:after="0" w:line="285" w:lineRule="auto"/>
        <w:tabs>
          <w:tab w:leader="none" w:pos="699" w:val="left"/>
        </w:tabs>
        <w:numPr>
          <w:ilvl w:val="1"/>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w:t>
      </w:r>
      <w:r>
        <w:rPr>
          <w:rFonts w:ascii="Arial" w:cs="Arial" w:eastAsia="Arial" w:hAnsi="Arial"/>
          <w:sz w:val="16"/>
          <w:szCs w:val="16"/>
          <w:color w:val="auto"/>
        </w:rPr>
        <w:t>Other than the Registration Statement, the ADS Registration Statement, the Preliminary Prospectus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Offered Securities (each such communication by the Company or its agents and Representatives (other than a communication referred to in clause (i) below) an “Issuer Free Writing Prospectus”) other than</w:t>
      </w:r>
    </w:p>
    <w:p>
      <w:pPr>
        <w:spacing w:after="0" w:line="1" w:lineRule="exact"/>
        <w:rPr>
          <w:rFonts w:ascii="Arial" w:cs="Arial" w:eastAsia="Arial" w:hAnsi="Arial"/>
          <w:sz w:val="16"/>
          <w:szCs w:val="16"/>
          <w:color w:val="auto"/>
        </w:rPr>
      </w:pPr>
    </w:p>
    <w:p>
      <w:pPr>
        <w:ind w:left="4" w:hanging="4"/>
        <w:spacing w:after="0" w:line="285" w:lineRule="auto"/>
        <w:tabs>
          <w:tab w:leader="none" w:pos="21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the ADS Registration Statement, or the Pricing Disclosure Package, and, when taken together with the Preliminary Prospectus [accompanying, or delivered prior to delivery of,][filed prior to the first use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63" w:lineRule="exact"/>
        <w:rPr>
          <w:rFonts w:ascii="Arial" w:cs="Arial" w:eastAsia="Arial" w:hAnsi="Arial"/>
          <w:sz w:val="16"/>
          <w:szCs w:val="16"/>
          <w:color w:val="auto"/>
        </w:rPr>
      </w:pPr>
    </w:p>
    <w:p>
      <w:pPr>
        <w:ind w:left="4" w:right="160" w:firstLine="436"/>
        <w:spacing w:after="0" w:line="296" w:lineRule="auto"/>
        <w:tabs>
          <w:tab w:leader="none" w:pos="689"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Emerging Growth Company</w:t>
      </w:r>
      <w:r>
        <w:rPr>
          <w:rFonts w:ascii="Arial" w:cs="Arial" w:eastAsia="Arial" w:hAnsi="Arial"/>
          <w:sz w:val="16"/>
          <w:szCs w:val="16"/>
          <w:color w:val="auto"/>
        </w:rPr>
        <w:t>. From the time of initial confidential submission of the Registration Statement to the Commission (or, if earlier,</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date on which the 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94" w:name="page295"/>
    <w:bookmarkEnd w:id="294"/>
    <w:p>
      <w:pPr>
        <w:ind w:left="4" w:right="6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 </w:t>
      </w:r>
      <w:r>
        <w:rPr>
          <w:rFonts w:ascii="Arial" w:cs="Arial" w:eastAsia="Arial" w:hAnsi="Arial"/>
          <w:sz w:val="16"/>
          <w:szCs w:val="16"/>
          <w:i w:val="1"/>
          <w:iCs w:val="1"/>
          <w:color w:val="auto"/>
        </w:rPr>
        <w:t>Testing-the-Waters Materials.</w:t>
      </w:r>
      <w:r>
        <w:rPr>
          <w:rFonts w:ascii="Arial" w:cs="Arial" w:eastAsia="Arial" w:hAnsi="Arial"/>
          <w:sz w:val="16"/>
          <w:szCs w:val="16"/>
          <w:color w:val="auto"/>
        </w:rPr>
        <w:t xml:space="preserve"> The Company (i) has not alone engaged in any Testing-the-Waters Communications other than Testing-the-Waters Communications with the consent of the Underwriters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w:t>
      </w:r>
    </w:p>
    <w:p>
      <w:pPr>
        <w:spacing w:after="0" w:line="2" w:lineRule="exact"/>
        <w:rPr>
          <w:sz w:val="20"/>
          <w:szCs w:val="20"/>
          <w:color w:val="auto"/>
        </w:rPr>
      </w:pPr>
    </w:p>
    <w:p>
      <w:pPr>
        <w:ind w:left="4" w:hanging="4"/>
        <w:spacing w:after="0" w:line="268" w:lineRule="auto"/>
        <w:tabs>
          <w:tab w:leader="none" w:pos="26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has not authorized anyone other than the Underwriters to engage in Testing-the-Waters Communications. The Company reconfirms that the Underwriters have been authorized to act on its behalf in undertaking Testing-the-Waters Communications. The Company has not distributed or approved for distribution any Written Testing-the-Waters Communications other than those listed on Annex A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the ADS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73" w:lineRule="exact"/>
        <w:rPr>
          <w:rFonts w:ascii="Arial" w:cs="Arial" w:eastAsia="Arial" w:hAnsi="Arial"/>
          <w:sz w:val="17"/>
          <w:szCs w:val="17"/>
          <w:color w:val="auto"/>
        </w:rPr>
      </w:pPr>
    </w:p>
    <w:p>
      <w:pPr>
        <w:ind w:left="4" w:right="20" w:firstLine="436"/>
        <w:spacing w:after="0" w:line="286" w:lineRule="auto"/>
        <w:tabs>
          <w:tab w:leader="none" w:pos="699" w:val="left"/>
        </w:tabs>
        <w:numPr>
          <w:ilvl w:val="1"/>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Each of the Registration Statement, the ADS Registration Statement has been declared effective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Commission. No order suspending the effectiveness of the Registration Statement and the ADS Registration Statement has been issued by the Commission, and no proceeding for that purpose or pursuant to Section 8A of the Securities Act against the Company or related to the offering of the Offered Securities has been initiated or threatened by the Commission; as of the applicable effective date of the Registration Statement, the ADS Registration Statement and any post-effective amendment thereto, the Registration Statement, the ADS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the Form 8-A Registration Statement has become effective as provided in Section 12 of the Exchange Act;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95" w:name="page296"/>
    <w:bookmarkEnd w:id="295"/>
    <w:p>
      <w:pPr>
        <w:ind w:firstLine="436"/>
        <w:spacing w:after="0" w:line="254"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Incorporated Documents. </w:t>
      </w:r>
      <w:r>
        <w:rPr>
          <w:rFonts w:ascii="Arial" w:cs="Arial" w:eastAsia="Arial" w:hAnsi="Arial"/>
          <w:sz w:val="18"/>
          <w:szCs w:val="18"/>
          <w:color w:val="auto"/>
        </w:rPr>
        <w:t>The documents incorporated by reference in the Registration Statement, the ADS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ADS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83" w:lineRule="exact"/>
        <w:rPr>
          <w:rFonts w:ascii="Arial" w:cs="Arial" w:eastAsia="Arial" w:hAnsi="Arial"/>
          <w:sz w:val="18"/>
          <w:szCs w:val="18"/>
          <w:color w:val="auto"/>
        </w:rPr>
      </w:pPr>
    </w:p>
    <w:p>
      <w:pPr>
        <w:ind w:right="20" w:firstLine="436"/>
        <w:spacing w:after="0" w:line="268" w:lineRule="auto"/>
        <w:tabs>
          <w:tab w:leader="none" w:pos="655"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the Exchange Act, as applicable and present fairly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(“GAAP”) applied on a consistent basis throughout the periods covered thereby, except as otherwise disclosed therein and as applicable, in the case of unaudited, interim financial statements, subject to normal year-end audit adjustments and the exclusion of certain footnotes as permitted by the applicable rules of the Commission, and any supporting schedules included in the Registration Statement present fairly the information required to be stated therein; the other financial information included in the Registration Statement, the Pricing Disclosure Package and the Prospectus has been derived from the accounting records of the Company and its consolidated subsidiaries and presents fairly the information shown thereby; [and] all disclosures included in the Registration Statement, the Pricing Disclosure Package and the Prospectus regarding “non-GAAP financial measures” (as such term is defined by the rules and regulations of Commission) comply with Item 10 of Regulation S-K of the Securities Act, to the extent applicable. Except as included therein, no historical or pro forma financial statements or supporting schedules are required to be included in the Registration Statement, the Pricing Disclosure Package or the Prospectus under the Act or the rules and regulations promulgated thereunder.</w:t>
      </w:r>
    </w:p>
    <w:p>
      <w:pPr>
        <w:spacing w:after="0" w:line="76"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The unaudited and unreviewed financial data for the quarter ended March 31, 2020 included in the Registration Statement, the Pricing Disclosure Package and the Prospectus was made by the Company with a reasonable basis and in good faith and reflect the Company’s good faith best estimate of the matters described therein.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6" w:name="page297"/>
    <w:bookmarkEnd w:id="296"/>
    <w:p>
      <w:pPr>
        <w:ind w:firstLine="436"/>
        <w:spacing w:after="0" w:line="268"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Material Adverse Change. </w:t>
      </w:r>
      <w:r>
        <w:rPr>
          <w:rFonts w:ascii="Arial" w:cs="Arial" w:eastAsia="Arial" w:hAnsi="Arial"/>
          <w:sz w:val="17"/>
          <w:szCs w:val="17"/>
          <w:color w:val="auto"/>
        </w:rPr>
        <w:t>Since the date of the most recent financial statements of the Company included in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Disclosure Package and the Prospectus, (i) there has not been any material adverse change in shareholder’s equity, short-term debt or long-term debt of the Company or any of the Controlled Entities (as defined below), or any dividend or distribution of any kind declared, set aside for payment, paid or made by the Company on any class of shares, or any material adverse change, or any development involving a prospective material adverse change, in or affecting the business, properties, management, financial position, shareholders’ equity, results of operations or prospects of the Company and the Controlled Entities taken as a whole; (ii) neither the Company nor any of the Controlled Entities has entered into any transaction or agreement (whether or not in the ordinary course of business) that is material to the Company and the Controlled Entities taken as a whole or incurred any liability or obligation, direct or contingent, that is material to the Company and the Controlled Entities taken as a whole; and (iii) neither the Company nor any of the Controlled Entities has sustained any loss or interference with its business that is material to the Company and the Controlled Entities taken as a whole and that is either from fire, explosion, flood or other calamity, whether or not covered by insurance, or from any labor disturbance or dispute or any action, order or decree of any court or arbitrator or governmental or regulatory authority, except in each case of clauses (i), (ii) and (iii) as otherwise disclosed in each of the Registration Statement, the Pricing Disclosure Package and the Prospectus (in each case excluding any amendment or supplement thereto).</w:t>
      </w:r>
    </w:p>
    <w:p>
      <w:pPr>
        <w:spacing w:after="0" w:line="78" w:lineRule="exact"/>
        <w:rPr>
          <w:rFonts w:ascii="Arial" w:cs="Arial" w:eastAsia="Arial" w:hAnsi="Arial"/>
          <w:sz w:val="17"/>
          <w:szCs w:val="17"/>
          <w:color w:val="auto"/>
        </w:rPr>
      </w:pPr>
    </w:p>
    <w:p>
      <w:pPr>
        <w:ind w:right="40" w:firstLine="436"/>
        <w:spacing w:after="0" w:line="285" w:lineRule="auto"/>
        <w:tabs>
          <w:tab w:leader="none" w:pos="695"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Organization and Good Standing</w:t>
      </w:r>
      <w:r>
        <w:rPr>
          <w:rFonts w:ascii="Arial" w:cs="Arial" w:eastAsia="Arial" w:hAnsi="Arial"/>
          <w:sz w:val="16"/>
          <w:szCs w:val="16"/>
          <w:color w:val="auto"/>
        </w:rPr>
        <w:t>. All of the Company’s subsidiaries have been identified on Schedule 3 hereto and all of the entities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conducts its operations in the People’s Republic of China (“PRC”) by way of contractual arrangements (the “VIEs”) have been identified on Schedule 4 hereto, which shall be referred to hereinafter each as a “Controlled Entity” and collectively as “Controlled Entities.” The Company and each of the Controlled Entities have been duly organized and are validly existing and in good standing under the laws of their respective jurisdictions of organization. Except as otherwise described in the Registration Statement, the Pricing Disclosure Package and the Prospectus, the Company and each of the Controlled Entities are duly qualified to do business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shareholders’ equity, results of operations or prospects of the Company and the Controlled Entities taken as a whole or on the performance by the Company of its obligations under the Transaction Documents (as defined below) (a “Material Adverse Effect”). The currently effective memorandum and articles of association or other constitutional or organizational documents of each of the Company and the Controlled Entities comply with the requirements of applicable laws of each respective entity’s jurisdiction of incorporation or organization and are in full force and effect, and the amended and restated memorandum and articles of association of the Company adopted by special resolution passed on April 7, 2020, filed as Exhibit 3.2 to the Registration Statement, or other constitutional or organizational documents of the Company comply with the requirements of applicable Cayman Islands law and, immediately following closing of the offering of the Offered Securities, will be in full force and effect.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97" w:name="page298"/>
    <w:bookmarkEnd w:id="297"/>
    <w:p>
      <w:pPr>
        <w:ind w:left="4" w:right="40" w:firstLine="436"/>
        <w:spacing w:after="0" w:line="283" w:lineRule="auto"/>
        <w:tabs>
          <w:tab w:leader="none" w:pos="659" w:val="left"/>
        </w:tabs>
        <w:numPr>
          <w:ilvl w:val="1"/>
          <w:numId w:val="17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Structure</w:t>
      </w:r>
      <w:r>
        <w:rPr>
          <w:rFonts w:ascii="Arial" w:cs="Arial" w:eastAsia="Arial" w:hAnsi="Arial"/>
          <w:sz w:val="16"/>
          <w:szCs w:val="16"/>
          <w:color w:val="auto"/>
        </w:rPr>
        <w:t>. (i) The description of the corporate structure of the Company and the agreements under the caption “Corporate History</w:t>
      </w:r>
      <w:r>
        <w:rPr>
          <w:rFonts w:ascii="Arial" w:cs="Arial" w:eastAsia="Arial" w:hAnsi="Arial"/>
          <w:sz w:val="16"/>
          <w:szCs w:val="16"/>
          <w:i w:val="1"/>
          <w:iCs w:val="1"/>
          <w:color w:val="auto"/>
        </w:rPr>
        <w:t xml:space="preserve"> </w:t>
      </w:r>
      <w:r>
        <w:rPr>
          <w:rFonts w:ascii="Arial" w:cs="Arial" w:eastAsia="Arial" w:hAnsi="Arial"/>
          <w:sz w:val="16"/>
          <w:szCs w:val="16"/>
          <w:color w:val="auto"/>
        </w:rPr>
        <w:t>and Structure” in the Registration Statement, the Pricing Disclosure Package and the Prospectus by and among the Company’s subsidiaries, the Controlled Entities that are VIEs, and the shareholders of such VIEs, as the case may be (each a “VIE Agreement” and collectively, the “VIE Agreements”), is true and accurate in all material respects and nothing has been omitted from such description which would make it misleading, and all material agreements relating to the Company’s corporate structure have been so disclosed. Each party to any VIE Agreement has the legal right, power and authority (corporate and other, as the case may be) to enter into and perform its obligations under such agreements and has taken all necessary corporate action to authorize the execution, delivery and performance of, and has authorized, executed and delivered each such agreement. Except as described in the Registration Statement, the Pricing Disclosure Package and the Prospectus, each VIE Agreement constitutes a valid and legally binding obligation of the parties thereto, enforceable in accordance with its terms. Except as described in the Registration Statement, the Pricing Disclosure Package and the Prospectus, no consent, approval, authorization, or order of, or filing or registration with, any person (including any governmental agency or body or any court) is required for the performance of the obligations under any VIE Agreement by the parties thereto and no consent, approval, authorization, order, filing or registration that has been obtained is being withdrawn or revoked or is subject to any condition precedent which has not been fulfilled or performed. The corporate structure of the Company complies with all applicable laws and regulations of the PRC at the time of this Agreement and neither the corporate structure nor the VIE Agreements violate, breach, contravene or otherwise conflict with any applicable laws of the PRC at the time of this Agreement, except in such cases that would not, individually or in the aggregate, result in a Material Adverse Effect;</w:t>
      </w:r>
    </w:p>
    <w:p>
      <w:pPr>
        <w:ind w:left="4" w:hanging="4"/>
        <w:spacing w:after="0" w:line="268" w:lineRule="auto"/>
        <w:tabs>
          <w:tab w:leader="none" w:pos="26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there is no legal or governmental proceeding, inquiry or investigation pending against the Company or any of the Controlled Entities which are parties to any of the VIE Agreements in any jurisdiction challenging the validity of any of the VIE Agreements, and, to the knowledge of the Company, no such proceeding, inquiry or investigation is threatened in any jurisdiction; (iii) except as described in the Registration Statement, the Pricing Disclosure Package and the Prospectus,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to the knowledge of the Company, no such termination or non-renewal has been threatened by any of the parties thereto; and (iv) the Company possesses, directly or indirectly, the power to direct or cause the direction of the management and policies of the VIEs through its wholly owned subsidiaries being authorized to exercise the voting rights in the VIEs of their respective shareholders.</w:t>
      </w:r>
    </w:p>
    <w:p>
      <w:pPr>
        <w:spacing w:after="0" w:line="181" w:lineRule="exact"/>
        <w:rPr>
          <w:rFonts w:ascii="Arial" w:cs="Arial" w:eastAsia="Arial" w:hAnsi="Arial"/>
          <w:sz w:val="17"/>
          <w:szCs w:val="17"/>
          <w:color w:val="auto"/>
        </w:rPr>
      </w:pPr>
    </w:p>
    <w:p>
      <w:pPr>
        <w:ind w:left="4" w:right="40" w:firstLine="436"/>
        <w:spacing w:after="0" w:line="286" w:lineRule="auto"/>
        <w:tabs>
          <w:tab w:leader="none" w:pos="749" w:val="left"/>
        </w:tabs>
        <w:numPr>
          <w:ilvl w:val="1"/>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 Package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Prospectus under the heading “Capitalization”; all the outstanding shares of the Company have been duly and validly authorized and issued and are fully paid and non-assessable; except as described in the Registration Statement, the Pricing Disclosure Package and the Prospectus, the outstanding shares of the Company are not subject to any pre-emptive or similar rights; except as described in the Registration Statement, the Pricing Disclosure Package and the Prospectus, there are no outstanding rights (including, without limitation, pre-emptive rights), warrants or options to acquire, or instruments convertible into or exchangeable for, any shares or other equity interest in the Company or any of the Controlled Entities, or any contract, commitment, agreement, understanding or arrangement of any kind relating to the issuance of any share of the Company or any such subsidiary, any such convertible or exchangeable securities or any such rights, warrants or options; the capitalization of the Company conforms in all material respects to the description thereof contained in the Registration Statement, the Pricing Disclosure Package and the Prospectus; and except as otherwise described in the Registration Statement, the Pricing Disclosure Package and the Prospectus, all the outstanding shares or other equity interests of each Controlled Entity owned or controlled, directly or indirectly, by the Company have been duly and validly authorized and issued, are paid in accordance with the applicable laws and the constitutive or organizational documents of each Controlled Entity, and are owned or controlled directly or indirectly by the Company, free and clear of any lien, charge, encumbrance, security interest, restriction on voting or transfer or any other claim of any third party.</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98" w:name="page299"/>
    <w:bookmarkEnd w:id="298"/>
    <w:p>
      <w:pPr>
        <w:ind w:left="700" w:hanging="264"/>
        <w:spacing w:after="0"/>
        <w:tabs>
          <w:tab w:leader="none" w:pos="700"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 Options. </w:t>
      </w:r>
      <w:r>
        <w:rPr>
          <w:rFonts w:ascii="Arial" w:cs="Arial" w:eastAsia="Arial" w:hAnsi="Arial"/>
          <w:sz w:val="17"/>
          <w:szCs w:val="17"/>
          <w:color w:val="auto"/>
        </w:rPr>
        <w:t>With respect to the share options (the “Share Options”) granted pursuant to the share-based compensation plans of the</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Company and the Controlled Entities (the “Company Share Incentive Plans”), (i) each grant of a Share Option was duly authorized no later than the date on which the grant of such Share Option was by its terms to be effective (the “Grant Date”)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(ii) each such grant was made in accordance with the terms of the Company Share Incentive Plans, the Exchange Act and all other applicable laws and regulatory rules or requirements, including the rules of the Nasdaq Global Select Market (the “Nasdaq Market”), and (iii) each such grant was properly accounted for in accordance with GAAP in the financial statements (including the related notes) of the Company and disclosed in the Company’s filings in accordance with applicable laws.</w:t>
      </w:r>
    </w:p>
    <w:p>
      <w:pPr>
        <w:spacing w:after="0" w:line="75" w:lineRule="exact"/>
        <w:rPr>
          <w:rFonts w:ascii="Arial" w:cs="Arial" w:eastAsia="Arial" w:hAnsi="Arial"/>
          <w:sz w:val="17"/>
          <w:szCs w:val="17"/>
          <w:color w:val="auto"/>
        </w:rPr>
      </w:pPr>
    </w:p>
    <w:p>
      <w:pPr>
        <w:ind w:right="360" w:firstLine="436"/>
        <w:spacing w:after="0" w:line="311" w:lineRule="auto"/>
        <w:tabs>
          <w:tab w:leader="none" w:pos="695"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w:t>
      </w:r>
      <w:r>
        <w:rPr>
          <w:rFonts w:ascii="Arial" w:cs="Arial" w:eastAsia="Arial" w:hAnsi="Arial"/>
          <w:sz w:val="16"/>
          <w:szCs w:val="16"/>
          <w:color w:val="auto"/>
        </w:rPr>
        <w:t>The Company has full right, power and authority to execute and deliver the Transaction Documents and to perform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hereunder and thereunder; and all action required to be taken for the due and proper authorization, execution and delivery by it of the Transaction Documents and the consummation by it of the transactions contemplated hereby and thereby has been duly and validly taken.</w:t>
      </w:r>
    </w:p>
    <w:p>
      <w:pPr>
        <w:spacing w:after="0" w:line="40" w:lineRule="exact"/>
        <w:rPr>
          <w:rFonts w:ascii="Arial" w:cs="Arial" w:eastAsia="Arial" w:hAnsi="Arial"/>
          <w:sz w:val="16"/>
          <w:szCs w:val="16"/>
          <w:color w:val="auto"/>
        </w:rPr>
      </w:pPr>
    </w:p>
    <w:p>
      <w:pPr>
        <w:ind w:left="700" w:hanging="264"/>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firstLine="436"/>
        <w:spacing w:after="0" w:line="259"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The Offered Securities. </w:t>
      </w:r>
      <w:r>
        <w:rPr>
          <w:rFonts w:ascii="Arial" w:cs="Arial" w:eastAsia="Arial" w:hAnsi="Arial"/>
          <w:sz w:val="18"/>
          <w:szCs w:val="18"/>
          <w:color w:val="auto"/>
        </w:rPr>
        <w:t>The Offered Securities to be issued and sold by the Company hereunder have been duly authorized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when issued and delivered and paid for as provided herein, will be duly and validly issued, will be fully paid and nonassessable and will conform to the descriptions thereof in the Registration Statement, the Pricing Disclosure Package and the Prospectus; and the issuance of the Offered Securities is not subject to any preemptive or similar rights.</w:t>
      </w:r>
    </w:p>
    <w:p>
      <w:pPr>
        <w:spacing w:after="0" w:line="78" w:lineRule="exact"/>
        <w:rPr>
          <w:rFonts w:ascii="Arial" w:cs="Arial" w:eastAsia="Arial" w:hAnsi="Arial"/>
          <w:sz w:val="18"/>
          <w:szCs w:val="18"/>
          <w:color w:val="auto"/>
        </w:rPr>
      </w:pPr>
    </w:p>
    <w:p>
      <w:pPr>
        <w:jc w:val="both"/>
        <w:ind w:right="160" w:firstLine="436"/>
        <w:spacing w:after="0" w:line="279" w:lineRule="auto"/>
        <w:tabs>
          <w:tab w:leader="none" w:pos="665"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Deposit Agreement. </w:t>
      </w:r>
      <w:r>
        <w:rPr>
          <w:rFonts w:ascii="Arial" w:cs="Arial" w:eastAsia="Arial" w:hAnsi="Arial"/>
          <w:sz w:val="17"/>
          <w:szCs w:val="17"/>
          <w:color w:val="auto"/>
        </w:rPr>
        <w:t>The Deposit Agreement has been duly authorized, executed and delivered by the Company and when duly executed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99" w:name="page300"/>
    <w:bookmarkEnd w:id="299"/>
    <w:p>
      <w:pPr>
        <w:ind w:right="20" w:firstLine="436"/>
        <w:spacing w:after="0" w:line="259" w:lineRule="auto"/>
        <w:tabs>
          <w:tab w:leader="none" w:pos="675"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American Depositary Receipts</w:t>
      </w:r>
      <w:r>
        <w:rPr>
          <w:rFonts w:ascii="Arial" w:cs="Arial" w:eastAsia="Arial" w:hAnsi="Arial"/>
          <w:sz w:val="18"/>
          <w:szCs w:val="18"/>
          <w:color w:val="auto"/>
        </w:rPr>
        <w:t>. Upon the due issuance by the Depositary of the ADRs evidencing the ADSs against the deposit of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accordance with the provisions of the Deposit Agreement, such ADRs evidencing the ADSs will be duly and validly issued under the Deposit Agreement and persons in whose names such ADRs evidencing the ADSs are registered will be entitled to the rights of registered holders of such ADRs evidencing the ADSs specified therein and in the Deposit Agreement;</w:t>
      </w:r>
    </w:p>
    <w:p>
      <w:pPr>
        <w:spacing w:after="0" w:line="78" w:lineRule="exact"/>
        <w:rPr>
          <w:rFonts w:ascii="Arial" w:cs="Arial" w:eastAsia="Arial" w:hAnsi="Arial"/>
          <w:sz w:val="18"/>
          <w:szCs w:val="18"/>
          <w:color w:val="auto"/>
        </w:rPr>
      </w:pPr>
    </w:p>
    <w:p>
      <w:pPr>
        <w:ind w:right="260" w:firstLine="436"/>
        <w:spacing w:after="0" w:line="259"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Holdings</w:t>
      </w:r>
      <w:r>
        <w:rPr>
          <w:rFonts w:ascii="Arial" w:cs="Arial" w:eastAsia="Arial" w:hAnsi="Arial"/>
          <w:sz w:val="18"/>
          <w:szCs w:val="18"/>
          <w:color w:val="auto"/>
        </w:rPr>
        <w:t>. No holder of any ADSs or underlying Offered Shares after the consummation of the transactions contemplated by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is or will be subject to any personal liability in respect of any liability of the Company by virtue only of its holding of any such ADSs or underlying Offered Shares; and except as set forth in the Registration Statement, the Pricing Disclosure Package and the Prospectus, there are no limitations on the rights of holders of the ADSs to hold or transfer their securities.</w:t>
      </w:r>
    </w:p>
    <w:p>
      <w:pPr>
        <w:spacing w:after="0" w:line="78"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Descriptions of the Transaction Documents. </w:t>
      </w:r>
      <w:r>
        <w:rPr>
          <w:rFonts w:ascii="Arial" w:cs="Arial" w:eastAsia="Arial" w:hAnsi="Arial"/>
          <w:sz w:val="18"/>
          <w:szCs w:val="18"/>
          <w:color w:val="auto"/>
        </w:rPr>
        <w:t>Each Transaction Document conforms in all material respects to the description thereof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Registration Statement, the Pricing Disclosure Package and the Prospectus.</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the Controlled Entities is (i) in violation of its charter or by-laws or similar</w:t>
      </w:r>
    </w:p>
    <w:p>
      <w:pPr>
        <w:spacing w:after="0" w:line="23" w:lineRule="exact"/>
        <w:rPr>
          <w:rFonts w:ascii="Arial" w:cs="Arial" w:eastAsia="Arial" w:hAnsi="Arial"/>
          <w:sz w:val="18"/>
          <w:szCs w:val="18"/>
          <w:color w:val="auto"/>
        </w:rPr>
      </w:pPr>
    </w:p>
    <w:p>
      <w:pPr>
        <w:spacing w:after="0" w:line="269" w:lineRule="auto"/>
        <w:rPr>
          <w:rFonts w:ascii="Arial" w:cs="Arial" w:eastAsia="Arial" w:hAnsi="Arial"/>
          <w:sz w:val="18"/>
          <w:szCs w:val="18"/>
          <w:color w:val="auto"/>
        </w:rPr>
      </w:pPr>
      <w:r>
        <w:rPr>
          <w:rFonts w:ascii="Arial" w:cs="Arial" w:eastAsia="Arial" w:hAnsi="Arial"/>
          <w:sz w:val="17"/>
          <w:szCs w:val="17"/>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the Controlled Entities is a party or by which the Company or any of the Controlled Entities is bound or to which any property or asset of the Company or any of the Controlled Entities is subject; or (iii) except as described in the Registration Statement, the Pricing Disclosure Package and the Prospectus,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72" w:lineRule="exact"/>
        <w:rPr>
          <w:rFonts w:ascii="Arial" w:cs="Arial" w:eastAsia="Arial" w:hAnsi="Arial"/>
          <w:sz w:val="18"/>
          <w:szCs w:val="18"/>
          <w:color w:val="auto"/>
        </w:rPr>
      </w:pPr>
    </w:p>
    <w:p>
      <w:pPr>
        <w:ind w:firstLine="436"/>
        <w:spacing w:after="0" w:line="269" w:lineRule="auto"/>
        <w:tabs>
          <w:tab w:leader="none" w:pos="735"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Company of each of the Transaction Documents, the issuance and sale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Offered Securities by the Company, the issuance by the Company of the Offered Securities to be issued upon the exercise of the Options (as hereinafter defined) and the consummation by the Company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the Controlled Entities pursuant to, any indenture, mortgage, deed of trust, loan agreement or other agreement or instrument to which the Company or any of the Controlled Entities is a party or by which the Company or any of the Controlled Entities is bound or to which any property, right or asset of the Company or any of the Controlled Entities is subject, (ii) result in any violation of the provisions of the charter or by-laws or similar organizational documents of the Company or any of the Controlled Entities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00" w:name="page301"/>
    <w:bookmarkEnd w:id="300"/>
    <w:p>
      <w:pPr>
        <w:ind w:firstLine="436"/>
        <w:spacing w:after="0" w:line="254"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Consents Required. </w:t>
      </w:r>
      <w:r>
        <w:rPr>
          <w:rFonts w:ascii="Arial" w:cs="Arial" w:eastAsia="Arial" w:hAnsi="Arial"/>
          <w:sz w:val="18"/>
          <w:szCs w:val="18"/>
          <w:color w:val="auto"/>
        </w:rPr>
        <w:t>No consent, approval, authorization, order,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Company of each of the Transaction Documents, the issuance by the Company of the Offered Securities to be issued upon the exercise of the Options (as defined below) and the consummation of the transactions contemplated by the Transaction Documents, except for the registration of the Offered Securities and ADSs under the Securities Act and listing of the ADSs on the Nasdaq Market and such consents, approvals, authorizations, orders and registrations or qualifications as have already been made or as may be required by the Financial Industry Regulatory Authority, Inc. (“FINRA”) and under applicable state securities laws in connection with the purchase and distribution of the Offered Securities by the Underwriters and as otherwise described in the Registration Statement, the Pricing Disclosure Package and the Prospectus.</w:t>
      </w:r>
    </w:p>
    <w:p>
      <w:pPr>
        <w:spacing w:after="0" w:line="83" w:lineRule="exact"/>
        <w:rPr>
          <w:rFonts w:ascii="Arial" w:cs="Arial" w:eastAsia="Arial" w:hAnsi="Arial"/>
          <w:sz w:val="18"/>
          <w:szCs w:val="18"/>
          <w:color w:val="auto"/>
        </w:rPr>
      </w:pPr>
    </w:p>
    <w:p>
      <w:pPr>
        <w:ind w:firstLine="436"/>
        <w:spacing w:after="0" w:line="288" w:lineRule="auto"/>
        <w:tabs>
          <w:tab w:leader="none" w:pos="695"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demands, claims, suits, arbitrations, inquiries or proceedings (“Actions”) pending to which the Company or any of the Controlled Entities is or may be a party or to which any property of the Company or any of the Controlled Entities is or may be the subject that, individually or in the aggregate, if determined adversely to the Company or any of the Controlled Entities, could 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60" w:lineRule="exact"/>
        <w:rPr>
          <w:rFonts w:ascii="Arial" w:cs="Arial" w:eastAsia="Arial" w:hAnsi="Arial"/>
          <w:sz w:val="16"/>
          <w:szCs w:val="16"/>
          <w:color w:val="auto"/>
        </w:rPr>
      </w:pPr>
    </w:p>
    <w:p>
      <w:pPr>
        <w:ind w:right="220" w:firstLine="436"/>
        <w:spacing w:after="0" w:line="279" w:lineRule="auto"/>
        <w:tabs>
          <w:tab w:leader="none" w:pos="685"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Ernst &amp; Young Hua Ming LLP, whose reports on the financial statements of the Company and the Controlled</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are included in the Registration Statement, the Pricing Disclosure Package and the Prospectus, is an independent registered public accounting firm with respect to the Company and the Controlled Entities within the applicable rules and regulations adopted by the Commission and the Public Company Accounting Oversight Board (United States) and as required by the Securities Act.</w:t>
      </w:r>
    </w:p>
    <w:p>
      <w:pPr>
        <w:spacing w:after="0" w:line="63" w:lineRule="exact"/>
        <w:rPr>
          <w:sz w:val="20"/>
          <w:szCs w:val="20"/>
          <w:color w:val="auto"/>
        </w:rPr>
      </w:pPr>
    </w:p>
    <w:p>
      <w:pPr>
        <w:ind w:right="80" w:firstLine="436"/>
        <w:spacing w:after="0" w:line="255" w:lineRule="auto"/>
        <w:tabs>
          <w:tab w:leader="none" w:pos="765"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Title to Real and Personal Property. </w:t>
      </w:r>
      <w:r>
        <w:rPr>
          <w:rFonts w:ascii="Arial" w:cs="Arial" w:eastAsia="Arial" w:hAnsi="Arial"/>
          <w:sz w:val="18"/>
          <w:szCs w:val="18"/>
          <w:color w:val="auto"/>
        </w:rPr>
        <w:t>Except as otherwise described in the Registration Statement, the Pricing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 Company and the Controlled Entities have good and marketable title in fee simple to, or have valid rights to lease or otherwise use, all items of real and personal property that are material to the respective businesses of the Company and the Controlled Entities, in each case free and clear of all liens, encumbrances, claims and defects and imperfections of title except those that (i) do not materially interfere with the use made and proposed to be made of such property by the Company and the Controlled Entities or (ii) could not reasonably be expected, individually or in the aggregate, to have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1" w:name="page302"/>
    <w:bookmarkEnd w:id="301"/>
    <w:p>
      <w:pPr>
        <w:ind w:firstLine="436"/>
        <w:spacing w:after="0" w:line="289" w:lineRule="auto"/>
        <w:tabs>
          <w:tab w:leader="none" w:pos="785"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Intellectual Property. </w:t>
      </w:r>
      <w:r>
        <w:rPr>
          <w:rFonts w:ascii="Arial" w:cs="Arial" w:eastAsia="Arial" w:hAnsi="Arial"/>
          <w:sz w:val="16"/>
          <w:szCs w:val="16"/>
          <w:color w:val="auto"/>
        </w:rPr>
        <w:t>Except as described in the Registration Statement, the Pricing Disclosure Package and the Prospectus, (i)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Controlled Entities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(ii) the Company’s and the Controlled Entities’ conduct of their respective businesses does not infringe, misappropriate or otherwise violate any Intellectual Property of any person; (iii) the Company and the Controlled Entities have not received any written notice of any claim relating to Intellectual Property; and (iv) to the knowledge of the Company, the Intellectual Property of the Company and the Controlled Entities is not being infringed, misappropriated or otherwise violated by any person, except, in the case of each of clauses (i), (ii), (iii) and (iv) above, for any such matter as would not, individually or in aggregate, result in a Material Adverse Effect.</w:t>
      </w:r>
    </w:p>
    <w:p>
      <w:pPr>
        <w:spacing w:after="0" w:line="58" w:lineRule="exact"/>
        <w:rPr>
          <w:rFonts w:ascii="Arial" w:cs="Arial" w:eastAsia="Arial" w:hAnsi="Arial"/>
          <w:sz w:val="16"/>
          <w:szCs w:val="16"/>
          <w:color w:val="auto"/>
        </w:rPr>
      </w:pPr>
    </w:p>
    <w:p>
      <w:pPr>
        <w:ind w:right="80" w:firstLine="436"/>
        <w:spacing w:after="0" w:line="259" w:lineRule="auto"/>
        <w:tabs>
          <w:tab w:leader="none" w:pos="765"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No Undisclosed Relationships. </w:t>
      </w:r>
      <w:r>
        <w:rPr>
          <w:rFonts w:ascii="Arial" w:cs="Arial" w:eastAsia="Arial" w:hAnsi="Arial"/>
          <w:sz w:val="18"/>
          <w:szCs w:val="18"/>
          <w:color w:val="auto"/>
        </w:rPr>
        <w:t>No relationship, direct or indirect, exists between or among the Company or any of the Controlled Entities,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one hand, and the directors, officers, shareholders, customers, suppliers or other affiliates of the Company or any of the Controlled Entities, on the other, that is required by the Securities Act to be described in each of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jc w:val="both"/>
        <w:ind w:right="20" w:firstLine="436"/>
        <w:spacing w:after="0" w:line="301" w:lineRule="auto"/>
        <w:tabs>
          <w:tab w:leader="none" w:pos="785"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The Company is not and, after giving effect to the offering and sale of the Offered Securities and the application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proceeds thereof received by the 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49" w:lineRule="exact"/>
        <w:rPr>
          <w:rFonts w:ascii="Arial" w:cs="Arial" w:eastAsia="Arial" w:hAnsi="Arial"/>
          <w:sz w:val="16"/>
          <w:szCs w:val="16"/>
          <w:color w:val="auto"/>
        </w:rPr>
      </w:pPr>
    </w:p>
    <w:p>
      <w:pPr>
        <w:jc w:val="both"/>
        <w:ind w:right="240" w:firstLine="436"/>
        <w:spacing w:after="0" w:line="301" w:lineRule="auto"/>
        <w:tabs>
          <w:tab w:leader="none" w:pos="765"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Except as otherwise disclosed in each of the Registration Statement, the Pricing Disclosure Package and the Prospectus, or as would</w:t>
      </w:r>
      <w:r>
        <w:rPr>
          <w:rFonts w:ascii="Arial" w:cs="Arial" w:eastAsia="Arial" w:hAnsi="Arial"/>
          <w:sz w:val="16"/>
          <w:szCs w:val="16"/>
          <w:i w:val="1"/>
          <w:iCs w:val="1"/>
          <w:color w:val="auto"/>
        </w:rPr>
        <w:t xml:space="preserve"> </w:t>
      </w:r>
      <w:r>
        <w:rPr>
          <w:rFonts w:ascii="Arial" w:cs="Arial" w:eastAsia="Arial" w:hAnsi="Arial"/>
          <w:sz w:val="16"/>
          <w:szCs w:val="16"/>
          <w:color w:val="auto"/>
        </w:rPr>
        <w:t>not, individually or in the aggregate, result in a Material Adverse Effect, (i) the Company and the Controlled Entities have paid all national, local and foreign taxes and filed all tax returns required to be paid or filed through the date hereof; and (ii) there is no tax deficiency that has been, or could reasonably be expected to be, asserted against the Company or any of the Controlled Entities or any of their respective properties or assets.</w:t>
      </w:r>
    </w:p>
    <w:p>
      <w:pPr>
        <w:spacing w:after="0" w:line="49" w:lineRule="exact"/>
        <w:rPr>
          <w:rFonts w:ascii="Arial" w:cs="Arial" w:eastAsia="Arial" w:hAnsi="Arial"/>
          <w:sz w:val="16"/>
          <w:szCs w:val="16"/>
          <w:color w:val="auto"/>
        </w:rPr>
      </w:pPr>
    </w:p>
    <w:p>
      <w:pPr>
        <w:ind w:right="140" w:firstLine="436"/>
        <w:spacing w:after="0" w:line="259" w:lineRule="auto"/>
        <w:tabs>
          <w:tab w:leader="none" w:pos="722"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FINRA</w:t>
      </w:r>
      <w:r>
        <w:rPr>
          <w:rFonts w:ascii="Arial" w:cs="Arial" w:eastAsia="Arial" w:hAnsi="Arial"/>
          <w:sz w:val="18"/>
          <w:szCs w:val="18"/>
          <w:color w:val="auto"/>
        </w:rPr>
        <w:t>. There are no affiliations or associations between (A) any member of FINRA and (B) the Company or any of the Company’s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to the knowledge of the Company, 5% or greater security holders or, to the knowledge of the Company, any beneficial owner of the Company’s unregistered equity securities that were acquired at any time on or after the 180th day immediately preceding the date the Registration Statement was first filed with the Commission.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02" w:name="page303"/>
    <w:bookmarkEnd w:id="302"/>
    <w:p>
      <w:pPr>
        <w:ind w:left="-20" w:firstLine="436"/>
        <w:spacing w:after="0" w:line="289" w:lineRule="auto"/>
        <w:tabs>
          <w:tab w:leader="none" w:pos="765"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Licenses and Permits. </w:t>
      </w:r>
      <w:r>
        <w:rPr>
          <w:rFonts w:ascii="Arial" w:cs="Arial" w:eastAsia="Arial" w:hAnsi="Arial"/>
          <w:sz w:val="16"/>
          <w:szCs w:val="16"/>
          <w:color w:val="auto"/>
        </w:rPr>
        <w:t>Except as described in the Registration Statement, the Pricing Disclosure Package and the Prospectus,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Controlled Entities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have a Material Adverse Effect; and except as described in each of the Registration Statement, the Pricing Disclosure Package and the Prospectus, neither the Company nor any of the Controlled Entities has received notice of any revocation or modification of any such license, sub-license, certificate, permit or authorization or has any reason to believe that any such license, sub-license, certificate, permit or authorization will not be renewed in the ordinary course, except where the failure to renew the same would not, individually or in the aggregate, have a Material Adverse Effect.</w:t>
      </w:r>
    </w:p>
    <w:p>
      <w:pPr>
        <w:spacing w:after="0" w:line="58" w:lineRule="exact"/>
        <w:rPr>
          <w:rFonts w:ascii="Arial" w:cs="Arial" w:eastAsia="Arial" w:hAnsi="Arial"/>
          <w:sz w:val="16"/>
          <w:szCs w:val="16"/>
          <w:color w:val="auto"/>
        </w:rPr>
      </w:pPr>
    </w:p>
    <w:p>
      <w:pPr>
        <w:ind w:left="-20" w:right="120" w:firstLine="436"/>
        <w:spacing w:after="0" w:line="293" w:lineRule="auto"/>
        <w:tabs>
          <w:tab w:leader="none" w:pos="765"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No Labor Disputes. </w:t>
      </w:r>
      <w:r>
        <w:rPr>
          <w:rFonts w:ascii="Arial" w:cs="Arial" w:eastAsia="Arial" w:hAnsi="Arial"/>
          <w:sz w:val="16"/>
          <w:szCs w:val="16"/>
          <w:color w:val="auto"/>
        </w:rPr>
        <w:t>No labor disturbance by or dispute with employees of the Company or any of the Controlled Entities exists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is contemplated or threatened, and the Company is not aware of any existing or imminent labor disturbance by, or dispute with, the employees of any of its or the Controlled Entities’ principal suppliers, contractors or customers, except as would not have a Material Adverse Effect. Except as described in the Registration Statement, the Pricing Disclosure Package and the Prospectus, the Company and the Controlled Entities are and have been at all times in compliance with all applicable labor laws and regulations, and no governmental investigation or proceedings with respect to labor law compliance exists, or to the best knowledge of the Company, is imminent, except as would not have a Material Adverse Effect.</w:t>
      </w:r>
    </w:p>
    <w:p>
      <w:pPr>
        <w:spacing w:after="0" w:line="56" w:lineRule="exact"/>
        <w:rPr>
          <w:rFonts w:ascii="Arial" w:cs="Arial" w:eastAsia="Arial" w:hAnsi="Arial"/>
          <w:sz w:val="16"/>
          <w:szCs w:val="16"/>
          <w:color w:val="auto"/>
        </w:rPr>
      </w:pPr>
    </w:p>
    <w:p>
      <w:pPr>
        <w:ind w:left="-20" w:right="60" w:firstLine="436"/>
        <w:spacing w:after="0" w:line="255" w:lineRule="auto"/>
        <w:tabs>
          <w:tab w:leader="none" w:pos="685"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Contracts. </w:t>
      </w:r>
      <w:r>
        <w:rPr>
          <w:rFonts w:ascii="Arial" w:cs="Arial" w:eastAsia="Arial" w:hAnsi="Arial"/>
          <w:sz w:val="18"/>
          <w:szCs w:val="18"/>
          <w:color w:val="auto"/>
        </w:rPr>
        <w:t>Neither the Company nor any of the Controlled Entities has sent or received any written communication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or intent not to renew, any of the contracts or agreements specifically referred to or described in the Registration Statement, the Pricing Disclosure Package and the Prospectus, or specifically referred to or described in, or filed as an exhibit to, the Registration Statement, and no such termination or non-renewal has been threatened by the Company, any of the Controlled Entities or, to the Company’s knowledge, any other party to any such contract or agreement, except for such terminations and non-renewals that would not, individually or in the aggregate, result in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303" w:name="page304"/>
    <w:bookmarkEnd w:id="303"/>
    <w:p>
      <w:pPr>
        <w:ind w:left="4" w:right="60" w:firstLine="436"/>
        <w:spacing w:after="0" w:line="284" w:lineRule="auto"/>
        <w:tabs>
          <w:tab w:leader="none" w:pos="709"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Environmental Matters</w:t>
      </w:r>
      <w:r>
        <w:rPr>
          <w:rFonts w:ascii="Arial" w:cs="Arial" w:eastAsia="Arial" w:hAnsi="Arial"/>
          <w:sz w:val="16"/>
          <w:szCs w:val="16"/>
          <w:color w:val="auto"/>
        </w:rPr>
        <w:t>. (i) The Company and the Controlled Entities (x) are in compliance with all, and have not violated any,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w:t>
      </w:r>
    </w:p>
    <w:p>
      <w:pPr>
        <w:ind w:left="4" w:right="140" w:hanging="4"/>
        <w:spacing w:after="0" w:line="253" w:lineRule="auto"/>
        <w:tabs>
          <w:tab w:leader="none" w:pos="26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of or relating to the Company or the Controlled Entities; (iii) there is no proceeding that is pending, or that is known to be contemplated, against the Company or any of the Controlled Entities under any Environmental Laws in which a governmental entity is also a party; and (iv) none of the Company or the Controlled Entities anticipates capital expenditures relating to any Environmental Laws, except in the case of each of (i), (ii), (iii) and (iv) above, for any such matter as would not, individually or in the aggregate, reasonably be expected to have a Material Adverse Effect.</w:t>
      </w:r>
    </w:p>
    <w:p>
      <w:pPr>
        <w:spacing w:after="0" w:line="82" w:lineRule="exact"/>
        <w:rPr>
          <w:rFonts w:ascii="Arial" w:cs="Arial" w:eastAsia="Arial" w:hAnsi="Arial"/>
          <w:sz w:val="18"/>
          <w:szCs w:val="18"/>
          <w:color w:val="auto"/>
        </w:rPr>
      </w:pPr>
    </w:p>
    <w:p>
      <w:pPr>
        <w:ind w:left="4" w:firstLine="436"/>
        <w:spacing w:after="0" w:line="270" w:lineRule="auto"/>
        <w:tabs>
          <w:tab w:leader="none" w:pos="789" w:val="left"/>
        </w:tabs>
        <w:numPr>
          <w:ilvl w:val="1"/>
          <w:numId w:val="187"/>
        </w:numPr>
        <w:rPr>
          <w:rFonts w:ascii="Arial" w:cs="Arial" w:eastAsia="Arial" w:hAnsi="Arial"/>
          <w:sz w:val="17"/>
          <w:szCs w:val="17"/>
          <w:color w:val="auto"/>
        </w:rPr>
      </w:pPr>
      <w:r>
        <w:rPr>
          <w:rFonts w:ascii="Arial" w:cs="Arial" w:eastAsia="Arial" w:hAnsi="Arial"/>
          <w:sz w:val="17"/>
          <w:szCs w:val="17"/>
          <w:i w:val="1"/>
          <w:iCs w:val="1"/>
          <w:color w:val="auto"/>
        </w:rPr>
        <w:t>PRC Overseas Investment and Listing Regulations</w:t>
      </w:r>
      <w:r>
        <w:rPr>
          <w:rFonts w:ascii="Arial" w:cs="Arial" w:eastAsia="Arial" w:hAnsi="Arial"/>
          <w:sz w:val="17"/>
          <w:szCs w:val="17"/>
          <w:color w:val="auto"/>
        </w:rPr>
        <w:t>.(ll) Except as described in the Registration Statement, the Pricing Disclosure Package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Prospectus, each of the Company and the Controlled Entities has complied, and has taken reasonable steps to ensure compliance by each of its shareholders, directors, officers, option holders and employees that, to the knowledge of the Company,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and the State Administration of Foreign Exchange) relating to overseas investment by PRC residents and citizens (the “PRC Overseas Investment and Listing Regulations”), including, without limitation, requesting each shareholder, director, officer, option holder and employee that, to the knowledge of the Company, is, or is directly or indirectly owned or controlled by, a PRC resident or citizen, to complete any registration and other procedures required under applicable PRC Overseas Investment and Listing Regulations.</w:t>
      </w:r>
    </w:p>
    <w:p>
      <w:pPr>
        <w:spacing w:after="0" w:line="73" w:lineRule="exact"/>
        <w:rPr>
          <w:sz w:val="20"/>
          <w:szCs w:val="20"/>
          <w:color w:val="auto"/>
        </w:rPr>
      </w:pPr>
    </w:p>
    <w:p>
      <w:pPr>
        <w:ind w:left="4" w:firstLine="436"/>
        <w:spacing w:after="0" w:line="283" w:lineRule="auto"/>
        <w:tabs>
          <w:tab w:leader="none" w:pos="889" w:val="left"/>
        </w:tabs>
        <w:numPr>
          <w:ilvl w:val="1"/>
          <w:numId w:val="188"/>
        </w:numPr>
        <w:rPr>
          <w:rFonts w:ascii="Arial" w:cs="Arial" w:eastAsia="Arial" w:hAnsi="Arial"/>
          <w:sz w:val="16"/>
          <w:szCs w:val="16"/>
          <w:color w:val="auto"/>
        </w:rPr>
      </w:pPr>
      <w:r>
        <w:rPr>
          <w:rFonts w:ascii="Arial" w:cs="Arial" w:eastAsia="Arial" w:hAnsi="Arial"/>
          <w:sz w:val="16"/>
          <w:szCs w:val="16"/>
          <w:i w:val="1"/>
          <w:iCs w:val="1"/>
          <w:color w:val="auto"/>
        </w:rPr>
        <w:t>PRC Mergers and Acquisitions Rules</w:t>
      </w:r>
      <w:r>
        <w:rPr>
          <w:rFonts w:ascii="Arial" w:cs="Arial" w:eastAsia="Arial" w:hAnsi="Arial"/>
          <w:sz w:val="16"/>
          <w:szCs w:val="16"/>
          <w:color w:val="auto"/>
        </w:rPr>
        <w:t>.(nn) The Company is aware of and has been advised as to the content of the Rules on Mergers and</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of Domestic Enterprises by Foreign Investors jointly promulgated by the Ministry of Commerce, the State Assets Supervision and Administration Commission, the State Tax Administration, the State Administration of Industry and Commerce (which has been merged into the State Administration for Market Regulation), the China Securities Regulatory Commission (“CSRC”) and the State Administration of Foreign Exchange on August 8, 2006 and amended by the Ministry of Commerce on June 22, 2009, and any official clarifications, guidance, interpretations or implementation rules, if any, in connection with or related thereto (the “PRC Mergers and Acquisitions Rules”),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Fangda Partners,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Ordinary Shares and the ADSs, the listing and trading of the ADSs on the Nasdaq Market and the consummation of the transactions contemplated by the Transaction Documents (i) are not and will not be, as of the date hereof or at the Closing Date or the Additional Closing Date, as the case may be, adversely affected by the PRC Mergers and Acquisitions Rules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do not require the prior approval of the CSRC.</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04" w:name="page305"/>
    <w:bookmarkEnd w:id="304"/>
    <w:p>
      <w:pPr>
        <w:ind w:left="4" w:right="120" w:firstLine="436"/>
        <w:spacing w:after="0" w:line="296" w:lineRule="auto"/>
        <w:tabs>
          <w:tab w:leader="none" w:pos="789" w:val="left"/>
        </w:tabs>
        <w:numPr>
          <w:ilvl w:val="1"/>
          <w:numId w:val="19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Disclosure Controls</w:t>
      </w:r>
      <w:r>
        <w:rPr>
          <w:rFonts w:ascii="Arial" w:cs="Arial" w:eastAsia="Arial" w:hAnsi="Arial"/>
          <w:sz w:val="16"/>
          <w:szCs w:val="16"/>
          <w:color w:val="auto"/>
        </w:rPr>
        <w:t>. The Company and the Controlled Entities maintain an effective system of “disclosure controls and procedures”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53" w:lineRule="exact"/>
        <w:rPr>
          <w:rFonts w:ascii="Arial" w:cs="Arial" w:eastAsia="Arial" w:hAnsi="Arial"/>
          <w:sz w:val="16"/>
          <w:szCs w:val="16"/>
          <w:color w:val="auto"/>
        </w:rPr>
      </w:pPr>
    </w:p>
    <w:p>
      <w:pPr>
        <w:ind w:left="4" w:right="120" w:firstLine="436"/>
        <w:spacing w:after="0" w:line="286" w:lineRule="auto"/>
        <w:tabs>
          <w:tab w:leader="none" w:pos="789" w:val="left"/>
        </w:tabs>
        <w:numPr>
          <w:ilvl w:val="1"/>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systems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 in accordance with GAAP. The Company maintains internal accounting controls sufficient to provide reasonable assurance that</w:t>
      </w:r>
    </w:p>
    <w:p>
      <w:pPr>
        <w:spacing w:after="0" w:line="1" w:lineRule="exact"/>
        <w:rPr>
          <w:rFonts w:ascii="Arial" w:cs="Arial" w:eastAsia="Arial" w:hAnsi="Arial"/>
          <w:sz w:val="16"/>
          <w:szCs w:val="16"/>
          <w:color w:val="auto"/>
        </w:rPr>
      </w:pPr>
    </w:p>
    <w:p>
      <w:pPr>
        <w:ind w:left="4" w:hanging="4"/>
        <w:spacing w:after="0" w:line="286" w:lineRule="auto"/>
        <w:tabs>
          <w:tab w:leader="none" w:pos="21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that the Company is aware of.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4" w:lineRule="exact"/>
        <w:rPr>
          <w:rFonts w:ascii="Arial" w:cs="Arial" w:eastAsia="Arial" w:hAnsi="Arial"/>
          <w:sz w:val="16"/>
          <w:szCs w:val="16"/>
          <w:color w:val="auto"/>
        </w:rPr>
      </w:pPr>
    </w:p>
    <w:p>
      <w:pPr>
        <w:ind w:left="4" w:right="20" w:firstLine="436"/>
        <w:spacing w:after="0" w:line="254" w:lineRule="auto"/>
        <w:tabs>
          <w:tab w:leader="none" w:pos="789"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Accounting Policies</w:t>
      </w:r>
      <w:r>
        <w:rPr>
          <w:rFonts w:ascii="Arial" w:cs="Arial" w:eastAsia="Arial" w:hAnsi="Arial"/>
          <w:sz w:val="18"/>
          <w:szCs w:val="18"/>
          <w:color w:val="auto"/>
        </w:rPr>
        <w:t>. The statements set forth under the caption “Critical Accounting Policies, Judgments and Estimates” in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“Management’s Discussion and Analysis of Financial Condition and Results of Operations” in the Registration Statement, the Pricing Disclosure Package and the Prospectus, accurately and fully describes (A) accounting policies which the Company believes are the most important in the portrayal of the financial condition and results of operations of the Company and the Controlled Entities on a consolidated basis and which require management’s most difficult, subjective or complex judgments (“critical accounting policies”); (B) judgments and uncertainties affecting the application of critical accounting policies; and (C) explanation of the likelihood that materially different amounts would be reported under different conditions or using different assumptions. The Company’s board of directors and senior management have reviewed and agreed with the selection, application and disclosure of critical accounting policies.</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05" w:name="page306"/>
    <w:bookmarkEnd w:id="305"/>
    <w:p>
      <w:pPr>
        <w:ind w:left="-20" w:right="200" w:firstLine="436"/>
        <w:spacing w:after="0" w:line="277"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Insurance. </w:t>
      </w:r>
      <w:r>
        <w:rPr>
          <w:rFonts w:ascii="Arial" w:cs="Arial" w:eastAsia="Arial" w:hAnsi="Arial"/>
          <w:sz w:val="18"/>
          <w:szCs w:val="18"/>
          <w:color w:val="auto"/>
        </w:rPr>
        <w:t>The Company and the Controlled Entities maintain insurance as required by applicable law. The Company’s insurance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interruption insurance and key-man life insurance is consistent with customary industry practice in China.</w:t>
      </w:r>
    </w:p>
    <w:p>
      <w:pPr>
        <w:spacing w:after="0" w:line="62" w:lineRule="exact"/>
        <w:rPr>
          <w:rFonts w:ascii="Arial" w:cs="Arial" w:eastAsia="Arial" w:hAnsi="Arial"/>
          <w:sz w:val="18"/>
          <w:szCs w:val="18"/>
          <w:color w:val="auto"/>
        </w:rPr>
      </w:pPr>
    </w:p>
    <w:p>
      <w:pPr>
        <w:ind w:left="-20" w:firstLine="436"/>
        <w:spacing w:after="0" w:line="286" w:lineRule="auto"/>
        <w:tabs>
          <w:tab w:leader="none" w:pos="725"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The Company and the Controlled Entities’ information technology assets and equipment, computers,</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networks, hardware, software, websites, applications, and databases (collectively, “IT Systems”) are adequate for, and operate and perform in all material respects as required in connection with the operation of the business of the Company and the Controlled Entities as currently conducted, free and clear of all material bugs, errors, defects, Trojan horses, time bombs, malware and other corruptants. The Company and the Controlled Entities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Except as otherwise described in the Registration Statement, the Pricing Disclosure Package and the Prospectus, the Company and the Controlled Entities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65" w:lineRule="exact"/>
        <w:rPr>
          <w:rFonts w:ascii="Arial" w:cs="Arial" w:eastAsia="Arial" w:hAnsi="Arial"/>
          <w:sz w:val="16"/>
          <w:szCs w:val="16"/>
          <w:color w:val="auto"/>
        </w:rPr>
      </w:pPr>
    </w:p>
    <w:p>
      <w:pPr>
        <w:ind w:left="-20" w:right="40" w:firstLine="436"/>
        <w:spacing w:after="0" w:line="268" w:lineRule="auto"/>
        <w:tabs>
          <w:tab w:leader="none" w:pos="685"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the Controlled Entities, nor any director or officer of the Company or any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Controlled Entities nor, to the knowledge of the Company, any employee, agent, affiliate or other person associated with or acting on behalf of the Company or any of the Controlled Entities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the Controlled Entities have instituted, maintain and enforce, and will continue to maintain and enforce policies and procedures designed to promote and ensure compliance with all applicable anti-bribery and anti-corruption laws.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4" w:right="479" w:bottom="1440" w:gutter="0" w:footer="0" w:header="0"/>
        </w:sectPr>
      </w:pPr>
    </w:p>
    <w:bookmarkStart w:id="306" w:name="page307"/>
    <w:bookmarkEnd w:id="306"/>
    <w:p>
      <w:pPr>
        <w:ind w:right="140" w:firstLine="436"/>
        <w:spacing w:after="0" w:line="253" w:lineRule="auto"/>
        <w:tabs>
          <w:tab w:leader="none" w:pos="785"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Compliance with Anti-Money Laundering Laws</w:t>
      </w:r>
      <w:r>
        <w:rPr>
          <w:rFonts w:ascii="Arial" w:cs="Arial" w:eastAsia="Arial" w:hAnsi="Arial"/>
          <w:sz w:val="18"/>
          <w:szCs w:val="18"/>
          <w:color w:val="auto"/>
        </w:rPr>
        <w:t>. The operations of the Company and the Controlled Entities are and have been conducted at</w:t>
      </w:r>
      <w:r>
        <w:rPr>
          <w:rFonts w:ascii="Arial" w:cs="Arial" w:eastAsia="Arial" w:hAnsi="Arial"/>
          <w:sz w:val="18"/>
          <w:szCs w:val="18"/>
          <w:i w:val="1"/>
          <w:iCs w:val="1"/>
          <w:color w:val="auto"/>
        </w:rPr>
        <w:t xml:space="preserve"> </w:t>
      </w:r>
      <w:r>
        <w:rPr>
          <w:rFonts w:ascii="Arial" w:cs="Arial" w:eastAsia="Arial" w:hAnsi="Arial"/>
          <w:sz w:val="18"/>
          <w:szCs w:val="18"/>
          <w:color w:val="auto"/>
        </w:rPr>
        <w:t>all times in compliance with applicable financial recordkeeping and reporting requirements, including those of the Currency and Foreign Transactions Reporting Act of 1970, as amended, the Organised and Serious Crimes Ordinance (Chapter 455 of the Laws of Hong Kong), the Anti-Money Laundering an Counter-Terrorist Financing (Financial Institutions) Ordinance (Chapter 615 of the Laws of Hong Kong) and all the other the applicable money laundering statutes of all jurisdictions where the Company or any of the Controlled Entities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the Controlled Entities with respect to the Anti-Money Laundering Laws is pending or, to the knowledge of the Company, threatened.</w:t>
      </w:r>
    </w:p>
    <w:p>
      <w:pPr>
        <w:spacing w:after="0" w:line="88" w:lineRule="exact"/>
        <w:rPr>
          <w:rFonts w:ascii="Arial" w:cs="Arial" w:eastAsia="Arial" w:hAnsi="Arial"/>
          <w:sz w:val="18"/>
          <w:szCs w:val="18"/>
          <w:color w:val="auto"/>
        </w:rPr>
      </w:pPr>
    </w:p>
    <w:p>
      <w:pPr>
        <w:ind w:firstLine="436"/>
        <w:spacing w:after="0" w:line="286" w:lineRule="auto"/>
        <w:tabs>
          <w:tab w:leader="none" w:pos="785"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the Controlled Entities, directors or officers, nor, to the knowledge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any employee, agent, affiliate or other person associated with or acting on behalf of the Company or any of the Controlled Entities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or any of the Controlled Entities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Offered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the Controlled Entities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62" w:lineRule="exact"/>
        <w:rPr>
          <w:rFonts w:ascii="Arial" w:cs="Arial" w:eastAsia="Arial" w:hAnsi="Arial"/>
          <w:sz w:val="16"/>
          <w:szCs w:val="16"/>
          <w:color w:val="auto"/>
        </w:rPr>
      </w:pPr>
    </w:p>
    <w:p>
      <w:pPr>
        <w:jc w:val="both"/>
        <w:ind w:right="180" w:firstLine="436"/>
        <w:spacing w:after="0" w:line="257" w:lineRule="auto"/>
        <w:tabs>
          <w:tab w:leader="none" w:pos="865"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No Violation of Export Control Regulations</w:t>
      </w:r>
      <w:r>
        <w:rPr>
          <w:rFonts w:ascii="Arial" w:cs="Arial" w:eastAsia="Arial" w:hAnsi="Arial"/>
          <w:sz w:val="18"/>
          <w:szCs w:val="18"/>
          <w:color w:val="auto"/>
        </w:rPr>
        <w:t>. Neither the Company nor any of the Controlled Entities has violated or is in violation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export control laws and regulations, including but not limited to the Export Administration Regulations administered by the Bureau of Industry and Security, an agency of the United States Department of Commerce. The Company and the Controlled Entities have instituted, maintained and enforced, and will continue to maintain and enforce policies and procedures designed to promote and ensure compliance with all applicable export control laws and regulations.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307" w:name="page308"/>
    <w:bookmarkEnd w:id="307"/>
    <w:p>
      <w:pPr>
        <w:ind w:left="-20" w:firstLine="436"/>
        <w:spacing w:after="0" w:line="259" w:lineRule="auto"/>
        <w:tabs>
          <w:tab w:leader="none" w:pos="765"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Restrictions on Controlled Entities</w:t>
      </w:r>
      <w:r>
        <w:rPr>
          <w:rFonts w:ascii="Arial" w:cs="Arial" w:eastAsia="Arial" w:hAnsi="Arial"/>
          <w:sz w:val="18"/>
          <w:szCs w:val="18"/>
          <w:color w:val="auto"/>
        </w:rPr>
        <w:t>. No Controlled Entity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entity’s ownership interest, from repaying to the Company any loans or advances to such entity from the Company or from transferring any of such entity’s properties or assets to the Company or any other Controlled Entities.</w:t>
      </w:r>
    </w:p>
    <w:p>
      <w:pPr>
        <w:spacing w:after="0" w:line="78" w:lineRule="exact"/>
        <w:rPr>
          <w:rFonts w:ascii="Arial" w:cs="Arial" w:eastAsia="Arial" w:hAnsi="Arial"/>
          <w:sz w:val="18"/>
          <w:szCs w:val="18"/>
          <w:color w:val="auto"/>
        </w:rPr>
      </w:pPr>
    </w:p>
    <w:p>
      <w:pPr>
        <w:ind w:left="-20" w:right="40" w:firstLine="436"/>
        <w:spacing w:after="0" w:line="257" w:lineRule="auto"/>
        <w:tabs>
          <w:tab w:leader="none" w:pos="765"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application of the net proceeds from the offering of the ADSs, as described in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will not contravene any provision of any current and applicable laws or the current constituent documents of the Company or any Controlled Entity or contravene the terms or provisions of, or constitute a default under, any indenture, mortgage, deed of trust, loan agreement, note, lease or other agreement or instrument currently binding upon the Company or any Controlled Entity or any governmental authorization applicable to any of the Company or any Controlled Entity.</w:t>
      </w:r>
    </w:p>
    <w:p>
      <w:pPr>
        <w:spacing w:after="0" w:line="79" w:lineRule="exact"/>
        <w:rPr>
          <w:rFonts w:ascii="Arial" w:cs="Arial" w:eastAsia="Arial" w:hAnsi="Arial"/>
          <w:sz w:val="18"/>
          <w:szCs w:val="18"/>
          <w:color w:val="auto"/>
        </w:rPr>
      </w:pPr>
    </w:p>
    <w:p>
      <w:pPr>
        <w:ind w:left="-20" w:firstLine="436"/>
        <w:spacing w:after="0" w:line="263" w:lineRule="auto"/>
        <w:tabs>
          <w:tab w:leader="none" w:pos="745"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the Controlled Entities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would give rise to a valid claim against any of them or any Underwriter for a brokerage commission, finder’s fee or like payment in connection with the offering and sale of the Offered Securities.</w:t>
      </w:r>
    </w:p>
    <w:p>
      <w:pPr>
        <w:spacing w:after="0" w:line="76" w:lineRule="exact"/>
        <w:rPr>
          <w:sz w:val="20"/>
          <w:szCs w:val="20"/>
          <w:color w:val="auto"/>
        </w:rPr>
      </w:pPr>
    </w:p>
    <w:p>
      <w:pPr>
        <w:jc w:val="both"/>
        <w:ind w:left="-20" w:right="40" w:firstLine="436"/>
        <w:spacing w:after="0" w:line="286" w:lineRule="auto"/>
        <w:tabs>
          <w:tab w:leader="none" w:pos="825"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Except as disclosed in the Registration Statement, the Pricing Disclosure Package and the Prospectus, no person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 to require the Company or any of the Controlled Entities to register any securities for sale under the Securities Act by reason of the filing of the Registration Statement with the Commission, the issuance and sale of the Offered Securities by the Company.</w:t>
      </w:r>
    </w:p>
    <w:p>
      <w:pPr>
        <w:spacing w:after="0" w:line="57" w:lineRule="exact"/>
        <w:rPr>
          <w:rFonts w:ascii="Arial" w:cs="Arial" w:eastAsia="Arial" w:hAnsi="Arial"/>
          <w:sz w:val="17"/>
          <w:szCs w:val="17"/>
          <w:color w:val="auto"/>
        </w:rPr>
      </w:pPr>
    </w:p>
    <w:p>
      <w:pPr>
        <w:ind w:left="-20" w:right="20" w:firstLine="436"/>
        <w:spacing w:after="0" w:line="308" w:lineRule="auto"/>
        <w:tabs>
          <w:tab w:leader="none" w:pos="855"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the Company nor any of the Controlled Entities or affiliates has taken, directly or indirectly, any action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or that could reasonably be expected to cause or result in any stabilization or manipulation of the price of the Offered Securities.</w:t>
      </w:r>
    </w:p>
    <w:p>
      <w:pPr>
        <w:spacing w:after="0" w:line="38" w:lineRule="exact"/>
        <w:rPr>
          <w:rFonts w:ascii="Arial" w:cs="Arial" w:eastAsia="Arial" w:hAnsi="Arial"/>
          <w:sz w:val="17"/>
          <w:szCs w:val="17"/>
          <w:color w:val="auto"/>
        </w:rPr>
      </w:pPr>
    </w:p>
    <w:p>
      <w:pPr>
        <w:ind w:left="-20" w:right="220" w:firstLine="436"/>
        <w:spacing w:after="0" w:line="263" w:lineRule="auto"/>
        <w:tabs>
          <w:tab w:leader="none" w:pos="825"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in any of the Registration Statement, the Pricing Disclosure Package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left="-20" w:right="200" w:firstLine="436"/>
        <w:spacing w:after="0" w:line="263" w:lineRule="auto"/>
        <w:tabs>
          <w:tab w:leader="none" w:pos="855"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each of the Registration Statement, the Pricing Disclosure Package and the Prospectus is not based on or derived from sources that are reliable and accurate in all material respects.</w:t>
      </w:r>
    </w:p>
    <w:p>
      <w:pPr>
        <w:spacing w:after="0" w:line="75" w:lineRule="exact"/>
        <w:rPr>
          <w:rFonts w:ascii="Arial" w:cs="Arial" w:eastAsia="Arial" w:hAnsi="Arial"/>
          <w:sz w:val="18"/>
          <w:szCs w:val="18"/>
          <w:color w:val="auto"/>
        </w:rPr>
      </w:pPr>
    </w:p>
    <w:p>
      <w:pPr>
        <w:ind w:left="-20" w:right="20" w:firstLine="436"/>
        <w:spacing w:after="0" w:line="279" w:lineRule="auto"/>
        <w:tabs>
          <w:tab w:leader="none" w:pos="825"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Sarbanes-Oxley Act</w:t>
      </w:r>
      <w:r>
        <w:rPr>
          <w:rFonts w:ascii="Arial" w:cs="Arial" w:eastAsia="Arial" w:hAnsi="Arial"/>
          <w:sz w:val="17"/>
          <w:szCs w:val="17"/>
          <w:color w:val="auto"/>
        </w:rPr>
        <w:t>. To the extent applicable to the Company and its directors and officers, there is and has been no failure on the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to the knowledge of the Company, any of the Company’s directors or officers, in their capacities as such, to comply with any provision of the Sarbanes-Oxley Act of 2002, as amended and the rules and regulations promulgated in connection therewith (the “Sarbanes-Oxley Act”), including Section 402 related to loans.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308" w:name="page309"/>
    <w:bookmarkEnd w:id="308"/>
    <w:p>
      <w:pPr>
        <w:ind w:right="60" w:firstLine="436"/>
        <w:spacing w:after="0" w:line="275" w:lineRule="auto"/>
        <w:tabs>
          <w:tab w:leader="none" w:pos="778" w:val="left"/>
        </w:tabs>
        <w:numPr>
          <w:ilvl w:val="0"/>
          <w:numId w:val="19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Status under the Securities Act</w:t>
      </w:r>
      <w:r>
        <w:rPr>
          <w:rFonts w:ascii="Arial" w:cs="Arial" w:eastAsia="Arial" w:hAnsi="Arial"/>
          <w:sz w:val="17"/>
          <w:szCs w:val="17"/>
          <w:color w:val="auto"/>
        </w:rPr>
        <w:t>. At the time of filing the Registration Statement and any post-effective amendment thereto, at the earliest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thereafter that the Company or any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Offered Securities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68" w:lineRule="exact"/>
        <w:rPr>
          <w:rFonts w:ascii="Arial" w:cs="Arial" w:eastAsia="Arial" w:hAnsi="Arial"/>
          <w:sz w:val="17"/>
          <w:szCs w:val="17"/>
          <w:color w:val="auto"/>
        </w:rPr>
      </w:pPr>
    </w:p>
    <w:p>
      <w:pPr>
        <w:ind w:right="40" w:firstLine="436"/>
        <w:spacing w:after="0" w:line="263" w:lineRule="auto"/>
        <w:tabs>
          <w:tab w:leader="none" w:pos="875"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.(hhh) There are (and prior to the Closing Date, will be) no debt securities, convertible securities or preferred stock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the Company or any of its subsidiaries that are rated by a “nationally recognized statistical rating organization”, as such term is defined in Section 3(a)(62) under the Exchange Act.</w:t>
      </w:r>
    </w:p>
    <w:p>
      <w:pPr>
        <w:spacing w:after="0" w:line="76" w:lineRule="exact"/>
        <w:rPr>
          <w:sz w:val="20"/>
          <w:szCs w:val="20"/>
          <w:color w:val="auto"/>
        </w:rPr>
      </w:pPr>
    </w:p>
    <w:p>
      <w:pPr>
        <w:ind w:right="20" w:firstLine="436"/>
        <w:spacing w:after="0" w:line="288" w:lineRule="auto"/>
        <w:tabs>
          <w:tab w:leader="none" w:pos="755"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Stamp Taxes</w:t>
      </w:r>
      <w:r>
        <w:rPr>
          <w:rFonts w:ascii="Arial" w:cs="Arial" w:eastAsia="Arial" w:hAnsi="Arial"/>
          <w:sz w:val="16"/>
          <w:szCs w:val="16"/>
          <w:color w:val="auto"/>
        </w:rPr>
        <w:t>. Except as disclosed in the Registration Statement, the Pricing Disclosure Package and the Prospectus, and except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income, capital gains, profits or franchise taxes imposed on the Underwriters by the PRC, Hong Kong SAR, and the Cayman Islands as a result of any present or former connection (other than any connection solely resulting from the transactions contemplated by the Transaction Documents) between the Underwriters and the jurisdiction imposing such tax, no stamp duties or other issuance or transfer taxes are payable by or on behalf of the Underwriters in the PRC, Hong Kong SAR, the Cayman Islands or any political subdivision or taxing authority thereof solely in connection with (A) the execution, delivery and performance of the Transaction Documents, (B) the issuance and delivery of the Offered Securities in the manner contemplated by this Agreement and the Prospectus, (C) the deposit of Offered Securities with the Depositary, (D) the issuance of the ADSs by the Depositary, (E) the sale and delivery by the Underwriters of the ADSs as contemplated herein and in the Prospectus, or (F) the execution, delivery, performance and admission in court proceedings of the Transaction Documents and the consummation of the transactions contemplated hereby and thereby, save that the Transaction Documents may be subject to Cayman Islands stamp duty if they are executed in or brought into the Cayman Islands.</w:t>
      </w:r>
    </w:p>
    <w:p>
      <w:pPr>
        <w:spacing w:after="0" w:line="60" w:lineRule="exact"/>
        <w:rPr>
          <w:rFonts w:ascii="Arial" w:cs="Arial" w:eastAsia="Arial" w:hAnsi="Arial"/>
          <w:sz w:val="16"/>
          <w:szCs w:val="16"/>
          <w:color w:val="auto"/>
        </w:rPr>
      </w:pPr>
    </w:p>
    <w:p>
      <w:pPr>
        <w:ind w:firstLine="436"/>
        <w:spacing w:after="0" w:line="269" w:lineRule="auto"/>
        <w:tabs>
          <w:tab w:leader="none" w:pos="755"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No Immunity</w:t>
      </w:r>
      <w:r>
        <w:rPr>
          <w:rFonts w:ascii="Arial" w:cs="Arial" w:eastAsia="Arial" w:hAnsi="Arial"/>
          <w:sz w:val="17"/>
          <w:szCs w:val="17"/>
          <w:color w:val="auto"/>
        </w:rPr>
        <w:t>. Neither the Company nor any of the Controlled Entities or their properties or assets has immunity under the laws of the Cayman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Hong Kong SAR, the PRC, U.S. federal or New York state law from any legal action, suit or proceeding, from the giving of any relief in any such legal action, suit or proceeding, from set-off or counterclaim, from the jurisdiction of any Cayman Islands, Hong Kong SAR, the PRC,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the Controlled Entities or any of its properties, assets or revenues may have or may hereafter become entitled to any such right of immunity in any such court in which proceedings arising out of, or relating to the transactions contemplated by the Transaction Documents, may at any time be commenced, the Company has, pursuant to Section 16(e) of this Agreement, waived, and it will waive, or will cause the Controlled Entities to waive, such right to the extent permitted by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09" w:name="page310"/>
    <w:bookmarkEnd w:id="309"/>
    <w:p>
      <w:pPr>
        <w:ind w:left="4" w:right="100" w:firstLine="436"/>
        <w:spacing w:after="0" w:line="285" w:lineRule="auto"/>
        <w:tabs>
          <w:tab w:leader="none" w:pos="879"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Enforcement of Foreign Judgments</w:t>
      </w:r>
      <w:r>
        <w:rPr>
          <w:rFonts w:ascii="Arial" w:cs="Arial" w:eastAsia="Arial" w:hAnsi="Arial"/>
          <w:sz w:val="16"/>
          <w:szCs w:val="16"/>
          <w:color w:val="auto"/>
        </w:rPr>
        <w:t>. (A) Although there is no statutory enforcement in the Cayman Islands of judgments obtained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or state courts of the United States, the courts of the Cayman Islands would recognize as a valid judgment, a final and conclusive judgment in personam obtained in the federal or state courts of the United States against the Company based upon the Transaction Documents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w:t>
      </w:r>
    </w:p>
    <w:p>
      <w:pPr>
        <w:spacing w:after="0" w:line="1" w:lineRule="exact"/>
        <w:rPr>
          <w:rFonts w:ascii="Arial" w:cs="Arial" w:eastAsia="Arial" w:hAnsi="Arial"/>
          <w:sz w:val="16"/>
          <w:szCs w:val="16"/>
          <w:color w:val="auto"/>
        </w:rPr>
      </w:pPr>
    </w:p>
    <w:p>
      <w:pPr>
        <w:ind w:left="4" w:right="40" w:hanging="4"/>
        <w:spacing w:after="0" w:line="268" w:lineRule="auto"/>
        <w:tabs>
          <w:tab w:leader="none" w:pos="24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(B) Except as otherwise described in each of the Registration Statement, the Time of Sale Prospectus and the Prospectus, any final judgment for a fixed or determined sum of money rendered by any U.S. federal or New York state court located in the State of New York having jurisdiction under its own laws in respect of any suit, action or proceeding against the Company based upon any of the Transaction Documents would be declared enforceable against the Company by PRC courts, subject to compliance with relevant requirements under the PRC civil law and rules of civil procedures.</w:t>
      </w:r>
    </w:p>
    <w:p>
      <w:pPr>
        <w:spacing w:after="0" w:line="75" w:lineRule="exact"/>
        <w:rPr>
          <w:rFonts w:ascii="Arial" w:cs="Arial" w:eastAsia="Arial" w:hAnsi="Arial"/>
          <w:sz w:val="17"/>
          <w:szCs w:val="17"/>
          <w:color w:val="auto"/>
        </w:rPr>
      </w:pPr>
    </w:p>
    <w:p>
      <w:pPr>
        <w:ind w:left="4" w:firstLine="436"/>
        <w:spacing w:after="0" w:line="273" w:lineRule="auto"/>
        <w:tabs>
          <w:tab w:leader="none" w:pos="759" w:val="left"/>
        </w:tabs>
        <w:numPr>
          <w:ilvl w:val="1"/>
          <w:numId w:val="199"/>
        </w:numPr>
        <w:rPr>
          <w:rFonts w:ascii="Arial" w:cs="Arial" w:eastAsia="Arial" w:hAnsi="Arial"/>
          <w:sz w:val="17"/>
          <w:szCs w:val="17"/>
          <w:color w:val="auto"/>
        </w:rPr>
      </w:pPr>
      <w:r>
        <w:rPr>
          <w:rFonts w:ascii="Arial" w:cs="Arial" w:eastAsia="Arial" w:hAnsi="Arial"/>
          <w:sz w:val="17"/>
          <w:szCs w:val="17"/>
          <w:i w:val="1"/>
          <w:iCs w:val="1"/>
          <w:color w:val="auto"/>
        </w:rPr>
        <w:t>Valid Choice of Law</w:t>
      </w:r>
      <w:r>
        <w:rPr>
          <w:rFonts w:ascii="Arial" w:cs="Arial" w:eastAsia="Arial" w:hAnsi="Arial"/>
          <w:sz w:val="17"/>
          <w:szCs w:val="17"/>
          <w:color w:val="auto"/>
        </w:rPr>
        <w:t>.(mmm) The choice of laws of the State of New York as the governing law of the Transaction Documents is a valid choice</w:t>
      </w:r>
      <w:r>
        <w:rPr>
          <w:rFonts w:ascii="Arial" w:cs="Arial" w:eastAsia="Arial" w:hAnsi="Arial"/>
          <w:sz w:val="17"/>
          <w:szCs w:val="17"/>
          <w:i w:val="1"/>
          <w:iCs w:val="1"/>
          <w:color w:val="auto"/>
        </w:rPr>
        <w:t xml:space="preserve"> </w:t>
      </w:r>
      <w:r>
        <w:rPr>
          <w:rFonts w:ascii="Arial" w:cs="Arial" w:eastAsia="Arial" w:hAnsi="Arial"/>
          <w:sz w:val="17"/>
          <w:szCs w:val="17"/>
          <w:color w:val="auto"/>
        </w:rPr>
        <w:t>of law under the laws of Cayman Islands, the PRC and will be honored by the courts of Cayman Islands and the PRC, subject to the restrictions described under the caption “Enforceability of Civil Liabilities” in the Registration Statement, the Pricing Disclosure Package and the Prospectus. The Company has the power to submit, and pursuant to Section 16(c)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70" w:lineRule="exact"/>
        <w:rPr>
          <w:sz w:val="20"/>
          <w:szCs w:val="20"/>
          <w:color w:val="auto"/>
        </w:rPr>
      </w:pPr>
    </w:p>
    <w:p>
      <w:pPr>
        <w:ind w:left="4" w:right="140" w:firstLine="436"/>
        <w:spacing w:after="0" w:line="263" w:lineRule="auto"/>
        <w:tabs>
          <w:tab w:leader="none" w:pos="879"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Passive Foreign Investment Company</w:t>
      </w:r>
      <w:r>
        <w:rPr>
          <w:rFonts w:ascii="Arial" w:cs="Arial" w:eastAsia="Arial" w:hAnsi="Arial"/>
          <w:sz w:val="18"/>
          <w:szCs w:val="18"/>
          <w:color w:val="auto"/>
        </w:rPr>
        <w:t>. Subject to the limitations, qualifications and assumptions set forth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Disclosure Package and the Prospectus, the 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as defined in Section 1297 of the Internal Revenue Code of 1986, as amended, for its current taxable year.</w:t>
      </w:r>
    </w:p>
    <w:p>
      <w:pPr>
        <w:spacing w:after="0" w:line="75" w:lineRule="exact"/>
        <w:rPr>
          <w:rFonts w:ascii="Arial" w:cs="Arial" w:eastAsia="Arial" w:hAnsi="Arial"/>
          <w:sz w:val="18"/>
          <w:szCs w:val="18"/>
          <w:color w:val="auto"/>
        </w:rPr>
      </w:pPr>
    </w:p>
    <w:p>
      <w:pPr>
        <w:ind w:left="4" w:right="20" w:firstLine="436"/>
        <w:spacing w:after="0" w:line="290" w:lineRule="auto"/>
        <w:tabs>
          <w:tab w:leader="none" w:pos="879"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Except as disclosed in the Registration Statement, the Pricing Disclosure Package and the Prospectus, none of the Company nor</w:t>
      </w:r>
      <w:r>
        <w:rPr>
          <w:rFonts w:ascii="Arial" w:cs="Arial" w:eastAsia="Arial" w:hAnsi="Arial"/>
          <w:sz w:val="16"/>
          <w:szCs w:val="16"/>
          <w:i w:val="1"/>
          <w:iCs w:val="1"/>
          <w:color w:val="auto"/>
        </w:rPr>
        <w:t xml:space="preserve"> </w:t>
      </w:r>
      <w:r>
        <w:rPr>
          <w:rFonts w:ascii="Arial" w:cs="Arial" w:eastAsia="Arial" w:hAnsi="Arial"/>
          <w:sz w:val="16"/>
          <w:szCs w:val="16"/>
          <w:color w:val="auto"/>
        </w:rPr>
        <w:t>any of the Controlled Entities is prohibited, directly or indirectly, from paying dividends or making other distributions on its share capital, all dividends and other distributions declared and payable upon the share capital of the Company or any of the Controlled Entities may be converted into foreign currency that may be freely transferred out of such entity’s jurisdiction of incorporation and may be paid in United States dollars, without the consent, approval, authorization or order of, or qualification with, any court or governmental agency or body in such entity’s jurisdiction of incorporation or tax residence, and all such dividends and other distributions will not be subject to withholding or other taxes under the laws and regulations of such entity’s jurisdiction of incorporation and are otherwise free and clear of any other tax, withholding or deduction in such entity’s jurisdiction of incorporation, and without the necessity of obtaining any governmental authorization in such entity’s jurisdiction of incorporation.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310" w:name="page311"/>
    <w:bookmarkEnd w:id="310"/>
    <w:p>
      <w:pPr>
        <w:ind w:right="20" w:firstLine="436"/>
        <w:spacing w:after="0" w:line="254" w:lineRule="auto"/>
        <w:tabs>
          <w:tab w:leader="none" w:pos="875"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SAFE Regulations</w:t>
      </w:r>
      <w:r>
        <w:rPr>
          <w:rFonts w:ascii="Arial" w:cs="Arial" w:eastAsia="Arial" w:hAnsi="Arial"/>
          <w:sz w:val="18"/>
          <w:szCs w:val="18"/>
          <w:color w:val="auto"/>
        </w:rPr>
        <w:t>. Except as described in the Registration Statement, the Pricing Disclosure Package and the Prospectus,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Controlled Entities that were incorporated outside of the PRC has taken, or is in the process of taking, all reasonable steps to comply with, and to ensure compliance by each of its shareholders and option holders that, to the knowledge of the Company, is, or is directly or indirectly owned or controlled by, a PRC resident or citizen with any applicable rules and regulations of the State Administration of Foreign Exchange (the “SAFE Regulations”), including, without limitation, requesting each shareholder and option holder that, to the knowledge of the Company, is, or is directly or indirectly owned or controlled by, a PRC resident or citizen to complete any registration and other procedures required under applicable SAFE Regulations.</w:t>
      </w:r>
    </w:p>
    <w:p>
      <w:pPr>
        <w:spacing w:after="0" w:line="86" w:lineRule="exact"/>
        <w:rPr>
          <w:rFonts w:ascii="Arial" w:cs="Arial" w:eastAsia="Arial" w:hAnsi="Arial"/>
          <w:sz w:val="18"/>
          <w:szCs w:val="18"/>
          <w:color w:val="auto"/>
        </w:rPr>
      </w:pPr>
    </w:p>
    <w:p>
      <w:pPr>
        <w:ind w:firstLine="436"/>
        <w:spacing w:after="0" w:line="279" w:lineRule="auto"/>
        <w:tabs>
          <w:tab w:leader="none" w:pos="875" w:val="left"/>
        </w:tabs>
        <w:numPr>
          <w:ilvl w:val="0"/>
          <w:numId w:val="201"/>
        </w:numPr>
        <w:rPr>
          <w:rFonts w:ascii="Arial" w:cs="Arial" w:eastAsia="Arial" w:hAnsi="Arial"/>
          <w:sz w:val="17"/>
          <w:szCs w:val="17"/>
          <w:color w:val="auto"/>
        </w:rPr>
      </w:pPr>
      <w:r>
        <w:rPr>
          <w:rFonts w:ascii="Arial" w:cs="Arial" w:eastAsia="Arial" w:hAnsi="Arial"/>
          <w:sz w:val="17"/>
          <w:szCs w:val="17"/>
          <w:i w:val="1"/>
          <w:iCs w:val="1"/>
          <w:color w:val="auto"/>
        </w:rPr>
        <w:t>Legality</w:t>
      </w:r>
      <w:r>
        <w:rPr>
          <w:rFonts w:ascii="Arial" w:cs="Arial" w:eastAsia="Arial" w:hAnsi="Arial"/>
          <w:sz w:val="17"/>
          <w:szCs w:val="17"/>
          <w:color w:val="auto"/>
        </w:rPr>
        <w:t>. The legality, validity, enforceability or admissibility into evidence of any of the Registration Statement, the Pricing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Package, the Prospectus, the Transaction Documents or the Offered Securities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63" w:lineRule="exact"/>
        <w:rPr>
          <w:rFonts w:ascii="Arial" w:cs="Arial" w:eastAsia="Arial" w:hAnsi="Arial"/>
          <w:sz w:val="17"/>
          <w:szCs w:val="17"/>
          <w:color w:val="auto"/>
        </w:rPr>
      </w:pPr>
    </w:p>
    <w:p>
      <w:pPr>
        <w:ind w:right="140" w:firstLine="436"/>
        <w:spacing w:after="0" w:line="259" w:lineRule="auto"/>
        <w:tabs>
          <w:tab w:leader="none" w:pos="785"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Legal Action</w:t>
      </w:r>
      <w:r>
        <w:rPr>
          <w:rFonts w:ascii="Arial" w:cs="Arial" w:eastAsia="Arial" w:hAnsi="Arial"/>
          <w:sz w:val="18"/>
          <w:szCs w:val="18"/>
          <w:color w:val="auto"/>
        </w:rPr>
        <w:t>. A holder of the Offered Securities and each Underwriter are each entitled to sue as plaintiff in the court of the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formation and domicile of the Company for the enforcement of their respective rights under this Agreement and the Offered Securities and such access to such courts will not be subject to any conditions which are not applicable to residents of such jurisdiction or a company incorporated in such jurisdiction</w:t>
      </w:r>
    </w:p>
    <w:p>
      <w:pPr>
        <w:spacing w:after="0" w:line="78" w:lineRule="exact"/>
        <w:rPr>
          <w:rFonts w:ascii="Arial" w:cs="Arial" w:eastAsia="Arial" w:hAnsi="Arial"/>
          <w:sz w:val="18"/>
          <w:szCs w:val="18"/>
          <w:color w:val="auto"/>
        </w:rPr>
      </w:pPr>
    </w:p>
    <w:p>
      <w:pPr>
        <w:ind w:left="820" w:hanging="384"/>
        <w:spacing w:after="0"/>
        <w:tabs>
          <w:tab w:leader="none" w:pos="820" w:val="left"/>
        </w:tabs>
        <w:numPr>
          <w:ilvl w:val="0"/>
          <w:numId w:val="201"/>
        </w:numPr>
        <w:rPr>
          <w:rFonts w:ascii="Arial" w:cs="Arial" w:eastAsia="Arial" w:hAnsi="Arial"/>
          <w:sz w:val="17"/>
          <w:szCs w:val="17"/>
          <w:color w:val="auto"/>
        </w:rPr>
      </w:pPr>
      <w:r>
        <w:rPr>
          <w:rFonts w:ascii="Arial" w:cs="Arial" w:eastAsia="Arial" w:hAnsi="Arial"/>
          <w:sz w:val="17"/>
          <w:szCs w:val="17"/>
          <w:i w:val="1"/>
          <w:iCs w:val="1"/>
          <w:color w:val="auto"/>
        </w:rPr>
        <w:t>Foreign Issuer</w:t>
      </w:r>
      <w:r>
        <w:rPr>
          <w:rFonts w:ascii="Arial" w:cs="Arial" w:eastAsia="Arial" w:hAnsi="Arial"/>
          <w:sz w:val="17"/>
          <w:szCs w:val="17"/>
          <w:color w:val="auto"/>
        </w:rPr>
        <w:t>. The Company is a “foreign private issuer” as defined in Rule 405 under the Securities Act.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sz w:val="20"/>
          <w:szCs w:val="20"/>
          <w:color w:val="auto"/>
        </w:rPr>
      </w:pPr>
    </w:p>
    <w:p>
      <w:pPr>
        <w:ind w:firstLine="436"/>
        <w:spacing w:after="0" w:line="291" w:lineRule="auto"/>
        <w:tabs>
          <w:tab w:leader="none" w:pos="685"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Required Filings. </w:t>
      </w:r>
      <w:r>
        <w:rPr>
          <w:rFonts w:ascii="Arial" w:cs="Arial" w:eastAsia="Arial" w:hAnsi="Arial"/>
          <w:sz w:val="16"/>
          <w:szCs w:val="16"/>
          <w:color w:val="auto"/>
        </w:rPr>
        <w:t>The Company will file the final Prospectus with the Commission within the time periods specified by Rule 424(b) and Rule</w:t>
      </w:r>
      <w:r>
        <w:rPr>
          <w:rFonts w:ascii="Arial" w:cs="Arial" w:eastAsia="Arial" w:hAnsi="Arial"/>
          <w:sz w:val="16"/>
          <w:szCs w:val="16"/>
          <w:i w:val="1"/>
          <w:iCs w:val="1"/>
          <w:color w:val="auto"/>
        </w:rPr>
        <w:t xml:space="preserve"> </w:t>
      </w:r>
      <w:r>
        <w:rPr>
          <w:rFonts w:ascii="Arial" w:cs="Arial" w:eastAsia="Arial" w:hAnsi="Arial"/>
          <w:sz w:val="16"/>
          <w:szCs w:val="16"/>
          <w:color w:val="auto"/>
        </w:rPr>
        <w:t>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Offered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11" w:name="page312"/>
    <w:bookmarkEnd w:id="311"/>
    <w:p>
      <w:pPr>
        <w:ind w:left="4" w:right="140" w:firstLine="436"/>
        <w:spacing w:after="0" w:line="287" w:lineRule="auto"/>
        <w:tabs>
          <w:tab w:leader="none" w:pos="699" w:val="left"/>
        </w:tabs>
        <w:numPr>
          <w:ilvl w:val="1"/>
          <w:numId w:val="20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Delivery of Copies. </w:t>
      </w:r>
      <w:r>
        <w:rPr>
          <w:rFonts w:ascii="Arial" w:cs="Arial" w:eastAsia="Arial" w:hAnsi="Arial"/>
          <w:sz w:val="16"/>
          <w:szCs w:val="16"/>
          <w:color w:val="auto"/>
        </w:rPr>
        <w:t>The Company will deliver, without charge, (i) to each of the Representatives, if requested, two signed copies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as originally filed and each amendment thereto, in each case including all exhibits and consents filed therewith; and (ii) to each Underwriter, if requested (A) a conformed copy of the Registration Statement, as originally filed and each amendment thereto (without exhibits) and</w:t>
      </w:r>
    </w:p>
    <w:p>
      <w:pPr>
        <w:spacing w:after="0" w:line="2" w:lineRule="exact"/>
        <w:rPr>
          <w:rFonts w:ascii="Arial" w:cs="Arial" w:eastAsia="Arial" w:hAnsi="Arial"/>
          <w:sz w:val="16"/>
          <w:szCs w:val="16"/>
          <w:color w:val="auto"/>
        </w:rPr>
      </w:pPr>
    </w:p>
    <w:p>
      <w:pPr>
        <w:ind w:left="4" w:right="40" w:hanging="4"/>
        <w:spacing w:after="0" w:line="253" w:lineRule="auto"/>
        <w:tabs>
          <w:tab w:leader="none" w:pos="28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Offered Securities as in the opinion of counsel for the Underwriters a prospectus relating to the Offered Securities is required by law to be delivered (or required to be delivered but for Rule 172 under the Securities Act) in connection with sales of the Offered Securities by any Underwriter or dealer.</w:t>
      </w:r>
    </w:p>
    <w:p>
      <w:pPr>
        <w:spacing w:after="0" w:line="82" w:lineRule="exact"/>
        <w:rPr>
          <w:rFonts w:ascii="Arial" w:cs="Arial" w:eastAsia="Arial" w:hAnsi="Arial"/>
          <w:sz w:val="18"/>
          <w:szCs w:val="18"/>
          <w:color w:val="auto"/>
        </w:rPr>
      </w:pPr>
    </w:p>
    <w:p>
      <w:pPr>
        <w:ind w:left="4" w:right="20" w:firstLine="436"/>
        <w:spacing w:after="0" w:line="273" w:lineRule="auto"/>
        <w:tabs>
          <w:tab w:leader="none" w:pos="689" w:val="left"/>
        </w:tabs>
        <w:numPr>
          <w:ilvl w:val="1"/>
          <w:numId w:val="204"/>
        </w:numPr>
        <w:rPr>
          <w:rFonts w:ascii="Arial" w:cs="Arial" w:eastAsia="Arial" w:hAnsi="Arial"/>
          <w:sz w:val="17"/>
          <w:szCs w:val="17"/>
          <w:color w:val="auto"/>
        </w:rPr>
      </w:pPr>
      <w:r>
        <w:rPr>
          <w:rFonts w:ascii="Arial" w:cs="Arial" w:eastAsia="Arial" w:hAnsi="Arial"/>
          <w:sz w:val="17"/>
          <w:szCs w:val="17"/>
          <w:i w:val="1"/>
          <w:iCs w:val="1"/>
          <w:color w:val="auto"/>
        </w:rPr>
        <w:t xml:space="preserve">Amendments or Supplements, Issuer Free Writing Prospectuses. </w:t>
      </w:r>
      <w:r>
        <w:rPr>
          <w:rFonts w:ascii="Arial" w:cs="Arial" w:eastAsia="Arial" w:hAnsi="Arial"/>
          <w:sz w:val="17"/>
          <w:szCs w:val="17"/>
          <w:color w:val="auto"/>
        </w:rPr>
        <w:t>Before making, preparing, using, authorizing, approving, referring to or filing</w:t>
      </w:r>
      <w:r>
        <w:rPr>
          <w:rFonts w:ascii="Arial" w:cs="Arial" w:eastAsia="Arial" w:hAnsi="Arial"/>
          <w:sz w:val="17"/>
          <w:szCs w:val="17"/>
          <w:i w:val="1"/>
          <w:iCs w:val="1"/>
          <w:color w:val="auto"/>
        </w:rPr>
        <w:t xml:space="preserve"> </w:t>
      </w:r>
      <w:r>
        <w:rPr>
          <w:rFonts w:ascii="Arial" w:cs="Arial" w:eastAsia="Arial" w:hAnsi="Arial"/>
          <w:sz w:val="17"/>
          <w:szCs w:val="17"/>
          <w:color w:val="auto"/>
        </w:rPr>
        <w:t>any Issuer Free Writing Prospectus, and before filing any amendment or supplement to the Registration Statement, the ADS Registration Statement, the Pricing Disclosure Package or the Prospectus, whether before or after the time that the Registration Statement becomes effective ,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w:t>
      </w:r>
    </w:p>
    <w:p>
      <w:pPr>
        <w:spacing w:after="0" w:line="69" w:lineRule="exact"/>
        <w:rPr>
          <w:rFonts w:ascii="Arial" w:cs="Arial" w:eastAsia="Arial" w:hAnsi="Arial"/>
          <w:sz w:val="17"/>
          <w:szCs w:val="17"/>
          <w:color w:val="auto"/>
        </w:rPr>
      </w:pPr>
    </w:p>
    <w:p>
      <w:pPr>
        <w:ind w:left="4" w:firstLine="436"/>
        <w:spacing w:after="0" w:line="284" w:lineRule="auto"/>
        <w:tabs>
          <w:tab w:leader="none" w:pos="699" w:val="left"/>
        </w:tabs>
        <w:numPr>
          <w:ilvl w:val="1"/>
          <w:numId w:val="204"/>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ADS Registration Statement and the Form 8-A Registration Statement has become effective; (ii) when any amendment to the Registration Statement or the ADS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the ADS Registration Statement or any amendment or supplement to the Prospectus or the receipt of any comments from the Commission relating to the Registration Statement or the ADS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the ADS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(vii) of the receipt by the Company of any notice of objection of the Commission to the use of the Registration Statement or the ADS Registration Statement or any post-effective amendment thereto pursuant to Rule 401(g)(2) under the Securities Act; and (viii) of the receipt by the Company of any notice with respect to any suspension of the qualification of the Offered Securities for offer and sale in any jurisdiction or the initiation or threatening of any proceeding for such purpose; and the Company will use its reasonable best efforts to prevent the issuance of any such order suspending the effectiveness of the Registration Statement or the ADS Registration Statement, preventing or suspending the use of any Preliminary Prospectus, any of the Pricing Disclosure Package or the Prospectus or any Written Testing-the-Waters Communication or suspending any such qualification of the Offered Securities and, if any such order is issued, will obtain as soon as possible the withdrawal thereof.</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312" w:name="page313"/>
    <w:bookmarkEnd w:id="312"/>
    <w:p>
      <w:pPr>
        <w:ind w:left="4" w:right="120" w:firstLine="436"/>
        <w:spacing w:after="0" w:line="284" w:lineRule="auto"/>
        <w:tabs>
          <w:tab w:leader="none" w:pos="689" w:val="left"/>
        </w:tabs>
        <w:numPr>
          <w:ilvl w:val="1"/>
          <w:numId w:val="20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Ongoing Compliance. </w:t>
      </w:r>
      <w:r>
        <w:rPr>
          <w:rFonts w:ascii="Arial" w:cs="Arial" w:eastAsia="Arial" w:hAnsi="Arial"/>
          <w:sz w:val="16"/>
          <w:szCs w:val="16"/>
          <w:color w:val="auto"/>
        </w:rPr>
        <w:t>(1) If during the Prospectus Delivery Period (i) any event or development shall occur or condition shall exist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as may be necessary so that the statements in the Prospectus as so amended or supplemented (or any document to be filed with the Commission) will not, in the light of the circumstances existing when the Prospectus is delivered to a purchaser, be misleading or so that the Prospectus will comply with law and</w:t>
      </w:r>
    </w:p>
    <w:p>
      <w:pPr>
        <w:ind w:left="4" w:hanging="4"/>
        <w:spacing w:after="0" w:line="268" w:lineRule="auto"/>
        <w:tabs>
          <w:tab w:leader="none" w:pos="25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3" w:lineRule="exact"/>
        <w:rPr>
          <w:rFonts w:ascii="Arial" w:cs="Arial" w:eastAsia="Arial" w:hAnsi="Arial"/>
          <w:sz w:val="17"/>
          <w:szCs w:val="17"/>
          <w:color w:val="auto"/>
        </w:rPr>
      </w:pPr>
    </w:p>
    <w:p>
      <w:pPr>
        <w:ind w:left="4" w:right="60" w:firstLine="436"/>
        <w:spacing w:after="0" w:line="257" w:lineRule="auto"/>
        <w:tabs>
          <w:tab w:leader="none" w:pos="669" w:val="left"/>
        </w:tabs>
        <w:numPr>
          <w:ilvl w:val="1"/>
          <w:numId w:val="206"/>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qualify the Offered Securities for offer and sale under the</w:t>
      </w:r>
      <w:r>
        <w:rPr>
          <w:rFonts w:ascii="Arial" w:cs="Arial" w:eastAsia="Arial" w:hAnsi="Arial"/>
          <w:sz w:val="18"/>
          <w:szCs w:val="18"/>
          <w:i w:val="1"/>
          <w:iCs w:val="1"/>
          <w:color w:val="auto"/>
        </w:rPr>
        <w:t xml:space="preserve"> securities </w:t>
      </w:r>
      <w:r>
        <w:rPr>
          <w:rFonts w:ascii="Arial" w:cs="Arial" w:eastAsia="Arial" w:hAnsi="Arial"/>
          <w:sz w:val="18"/>
          <w:szCs w:val="18"/>
          <w:color w:val="auto"/>
        </w:rPr>
        <w:t>or Blue Sky laws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jurisdictions as the Representatives shall reasonably request and will continue such qualifications in effect so long as required for distribution of the Offered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13" w:name="page314"/>
    <w:bookmarkEnd w:id="313"/>
    <w:p>
      <w:pPr>
        <w:ind w:left="4" w:right="340" w:firstLine="436"/>
        <w:spacing w:after="0" w:line="259" w:lineRule="auto"/>
        <w:tabs>
          <w:tab w:leader="none" w:pos="699"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Earning Statement. </w:t>
      </w:r>
      <w:r>
        <w:rPr>
          <w:rFonts w:ascii="Arial" w:cs="Arial" w:eastAsia="Arial" w:hAnsi="Arial"/>
          <w:sz w:val="18"/>
          <w:szCs w:val="18"/>
          <w:color w:val="auto"/>
        </w:rPr>
        <w:t>The Company will make generally available to its security holders and the Representatives as soon as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78" w:lineRule="exact"/>
        <w:rPr>
          <w:rFonts w:ascii="Arial" w:cs="Arial" w:eastAsia="Arial" w:hAnsi="Arial"/>
          <w:sz w:val="18"/>
          <w:szCs w:val="18"/>
          <w:color w:val="auto"/>
        </w:rPr>
      </w:pPr>
    </w:p>
    <w:p>
      <w:pPr>
        <w:ind w:left="4" w:firstLine="436"/>
        <w:spacing w:after="0" w:line="284" w:lineRule="auto"/>
        <w:tabs>
          <w:tab w:leader="none" w:pos="699"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180 days after the date of the Prospectus (the “Restricted Period”), the Company will not (i) offer, pledge, sell,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Ordinary Shares, ADSs or any securities convertible into or exercisable or exchangeable for Ordinary Shares or ADSs, or publicly disclose the intention to undertake any of the foregoing, or (ii) enter into any swap or other agreement that transfers, in whole or in part, any of the economic consequences of ownership of any Ordinary Shares, ADSs or any such other securities, whether any such transaction described in clause (i) or</w:t>
      </w:r>
    </w:p>
    <w:p>
      <w:pPr>
        <w:spacing w:after="0" w:line="4"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above is to be settled by delivery of Ordinary Shares, ADSs or such other securities, in cash or otherwise, without the prior written consent of the Representatives.</w:t>
      </w:r>
    </w:p>
    <w:p>
      <w:pPr>
        <w:spacing w:after="0" w:line="18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The restrictions described above do not apply to (i) the Offered Securities to be sold hereunder; (ii) the issuance of Ordinary Shares, ADSs or securities convertible into or exercisable for Ordinary Shares or ADSs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(iii) grants of stock options, stock awards, restricted stock, RSUs, or other equity awards and the issuance of Ordinary Shares, ADSs or securities convertible into or exercisable or exchangeable for Ordinary Shares or ADSs (whether upon the exercise of stock options or otherwise) to the Company’s employees, officers, directors, advisors, or consultants pursuant to the terms of an equity compensation plan in effect as of the Closing Date and described in the Prospectus, provided that no filing by such employees, officers, directors, advisors, or consultants under the Exchange Act or other public announcement shall be required or shall be made voluntarily in connection with any subsequent sale of Ordinary Shares or ADSs during the Restricted Period;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(v) the establishment of a trading plan pursuant to Rule 10b5-1 under the Exchange Act for the transfer of Ordinary Shares or ADSs, provided that (a) such plan does not provide for the transfer of Ordinary Shares or ADSs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Ordinary Shares or ADSs may be made under such plan during the Restricted Period, or (vi) deposit Ordinary Shares with the Depositary for conversion into American Depositary Shares in connection with the contemplated issuance of options under any employee benefit plan or equity incentive plan described in the Registration Statement.</w:t>
      </w:r>
    </w:p>
    <w:p>
      <w:pPr>
        <w:spacing w:after="0" w:line="3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14" w:name="page315"/>
    <w:bookmarkEnd w:id="314"/>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Representatives, in their sole discretion, agree to release or waive the restrictions or a lock-up letter described in Section 6(n) hereof for an officer or director of the Company and [provides/provide]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80" w:lineRule="exact"/>
        <w:rPr>
          <w:sz w:val="20"/>
          <w:szCs w:val="20"/>
          <w:color w:val="auto"/>
        </w:rPr>
      </w:pPr>
    </w:p>
    <w:p>
      <w:pPr>
        <w:ind w:right="380" w:firstLine="436"/>
        <w:spacing w:after="0" w:line="27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Offered Securities as described in each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the Pricing Disclosure Package and the Prospectus under the heading “Use of proceeds”.</w:t>
      </w:r>
    </w:p>
    <w:p>
      <w:pPr>
        <w:spacing w:after="0" w:line="62" w:lineRule="exact"/>
        <w:rPr>
          <w:rFonts w:ascii="Arial" w:cs="Arial" w:eastAsia="Arial" w:hAnsi="Arial"/>
          <w:sz w:val="18"/>
          <w:szCs w:val="18"/>
          <w:color w:val="auto"/>
        </w:rPr>
      </w:pPr>
    </w:p>
    <w:p>
      <w:pPr>
        <w:ind w:right="260" w:firstLine="436"/>
        <w:spacing w:after="0" w:line="263"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the Controlled Entities or affiliates will take, directly or indirectly, any action designed to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reasonably be expected to cause or result in any stabilization or manipulation of the price of the Stock (it being understood that the Company makes no statement as to the activities of the Underwriters in connection with the offering).</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its reasonable best efforts to list for quotation the Offered Securities on the Nasdaq Market.</w:t>
      </w:r>
    </w:p>
    <w:p>
      <w:pPr>
        <w:spacing w:after="0" w:line="128" w:lineRule="exact"/>
        <w:rPr>
          <w:rFonts w:ascii="Arial" w:cs="Arial" w:eastAsia="Arial" w:hAnsi="Arial"/>
          <w:sz w:val="17"/>
          <w:szCs w:val="17"/>
          <w:color w:val="auto"/>
        </w:rPr>
      </w:pPr>
    </w:p>
    <w:p>
      <w:pPr>
        <w:ind w:right="80" w:firstLine="436"/>
        <w:spacing w:after="0" w:line="257" w:lineRule="auto"/>
        <w:tabs>
          <w:tab w:leader="none" w:pos="65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So long as the Offered Securities are outstanding, the Company will furnish to the Representatives, as soon as they are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copies of all reports or other communications (financial or other) furnished to holders of the Offered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the Commission’s Electronic Data Gathering, Analysis, and Retrieval system or any successor system.</w:t>
      </w:r>
    </w:p>
    <w:p>
      <w:pPr>
        <w:spacing w:after="0" w:line="79" w:lineRule="exact"/>
        <w:rPr>
          <w:rFonts w:ascii="Arial" w:cs="Arial" w:eastAsia="Arial" w:hAnsi="Arial"/>
          <w:sz w:val="18"/>
          <w:szCs w:val="18"/>
          <w:color w:val="auto"/>
        </w:rPr>
      </w:pPr>
    </w:p>
    <w:p>
      <w:pPr>
        <w:ind w:right="240" w:firstLine="436"/>
        <w:spacing w:after="0" w:line="277" w:lineRule="auto"/>
        <w:tabs>
          <w:tab w:leader="none" w:pos="74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117"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Emerging Growth Company; Foreign Private Issuer</w:t>
      </w:r>
      <w:r>
        <w:rPr>
          <w:rFonts w:ascii="Arial" w:cs="Arial" w:eastAsia="Arial" w:hAnsi="Arial"/>
          <w:sz w:val="18"/>
          <w:szCs w:val="18"/>
          <w:color w:val="auto"/>
        </w:rPr>
        <w:t>. The Company will promptly notify the Representatives if the Company ceases to be an</w:t>
      </w:r>
      <w:r>
        <w:rPr>
          <w:rFonts w:ascii="Arial" w:cs="Arial" w:eastAsia="Arial" w:hAnsi="Arial"/>
          <w:sz w:val="18"/>
          <w:szCs w:val="18"/>
          <w:i w:val="1"/>
          <w:iCs w:val="1"/>
          <w:color w:val="auto"/>
        </w:rPr>
        <w:t xml:space="preserve"> </w:t>
      </w:r>
      <w:r>
        <w:rPr>
          <w:rFonts w:ascii="Arial" w:cs="Arial" w:eastAsia="Arial" w:hAnsi="Arial"/>
          <w:sz w:val="18"/>
          <w:szCs w:val="18"/>
          <w:color w:val="auto"/>
        </w:rPr>
        <w:t>Emerging Growth Company or a Foreign Private Issuer at any time prior to the later of (i) completion of the distribution of Offered Securities within the meaning of the Securities Act and (ii) completion of the Restricted Period referred to in Section 4(h) 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15" w:name="page316"/>
    <w:bookmarkEnd w:id="315"/>
    <w:p>
      <w:pPr>
        <w:ind w:left="-40" w:right="40" w:firstLine="436"/>
        <w:spacing w:after="0" w:line="269" w:lineRule="auto"/>
        <w:tabs>
          <w:tab w:leader="none" w:pos="655" w:val="left"/>
        </w:tabs>
        <w:numPr>
          <w:ilvl w:val="0"/>
          <w:numId w:val="21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Indemnity</w:t>
      </w:r>
      <w:r>
        <w:rPr>
          <w:rFonts w:ascii="Arial" w:cs="Arial" w:eastAsia="Arial" w:hAnsi="Arial"/>
          <w:sz w:val="17"/>
          <w:szCs w:val="17"/>
          <w:color w:val="auto"/>
        </w:rPr>
        <w:t>. The Company will indemnify and hold harmless the Underwriters against any documentary, stamp, registration or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tax, including any interest and penalties, on the sale of the Offered Securities by the Company to the Underwriters and on the execution and delivery of this Agreement. All indemnity payments to be made by the Company hereunder in respect of this Section 4(p) shall be made without withholding or deduction for or on account of any present or future taxes, duties or governmental charges whatsoever unless the Company is compelled by law to deduct or withhold such taxes, duties or charges. In that event, except for (i) any net income, capital gains or franchise taxes imposed on the Underwriters by a taxing jurisdiction as a result of any present or former connection (other than any connection resulting from the transactions contemplated by this Agreement) between the Underwriters and the jurisdiction imposing such withholding or deductions or (ii) to the extent of withholding or deduction that would not have been imposed but for a failure of an Underwriter to timely provide upon a reasonable request for any certification, documentation or form to the extent necessary in order to eliminate or reduce such withholding or deduction, the Company shall pay such additional amounts as may be necessary in order to ensure that the net amounts received after such withholding or deductions shall equal the amounts that would have been received if no withholding or deduction has been made.</w:t>
      </w:r>
    </w:p>
    <w:p>
      <w:pPr>
        <w:spacing w:after="0" w:line="73" w:lineRule="exact"/>
        <w:rPr>
          <w:rFonts w:ascii="Arial" w:cs="Arial" w:eastAsia="Arial" w:hAnsi="Arial"/>
          <w:sz w:val="17"/>
          <w:szCs w:val="17"/>
          <w:color w:val="auto"/>
        </w:rPr>
      </w:pPr>
    </w:p>
    <w:p>
      <w:pPr>
        <w:ind w:left="-40" w:right="180" w:firstLine="436"/>
        <w:spacing w:after="0" w:line="286" w:lineRule="auto"/>
        <w:tabs>
          <w:tab w:leader="none" w:pos="655" w:val="left"/>
        </w:tabs>
        <w:numPr>
          <w:ilvl w:val="0"/>
          <w:numId w:val="210"/>
        </w:numPr>
        <w:rPr>
          <w:rFonts w:ascii="Arial" w:cs="Arial" w:eastAsia="Arial" w:hAnsi="Arial"/>
          <w:sz w:val="17"/>
          <w:szCs w:val="17"/>
          <w:color w:val="auto"/>
        </w:rPr>
      </w:pPr>
      <w:r>
        <w:rPr>
          <w:rFonts w:ascii="Arial" w:cs="Arial" w:eastAsia="Arial" w:hAnsi="Arial"/>
          <w:sz w:val="17"/>
          <w:szCs w:val="17"/>
          <w:i w:val="1"/>
          <w:iCs w:val="1"/>
          <w:color w:val="auto"/>
        </w:rPr>
        <w:t>Lock-up Period</w:t>
      </w:r>
      <w:r>
        <w:rPr>
          <w:rFonts w:ascii="Arial" w:cs="Arial" w:eastAsia="Arial" w:hAnsi="Arial"/>
          <w:sz w:val="17"/>
          <w:szCs w:val="17"/>
          <w:color w:val="auto"/>
        </w:rPr>
        <w:t>. The Company agrees not to facilitate any shareholder’s conversion of Ordinary Shares to ADSs during the Lock-Up Period</w:t>
      </w:r>
      <w:r>
        <w:rPr>
          <w:rFonts w:ascii="Arial" w:cs="Arial" w:eastAsia="Arial" w:hAnsi="Arial"/>
          <w:sz w:val="17"/>
          <w:szCs w:val="17"/>
          <w:i w:val="1"/>
          <w:iCs w:val="1"/>
          <w:color w:val="auto"/>
        </w:rPr>
        <w:t xml:space="preserve"> </w:t>
      </w:r>
      <w:r>
        <w:rPr>
          <w:rFonts w:ascii="Arial" w:cs="Arial" w:eastAsia="Arial" w:hAnsi="Arial"/>
          <w:sz w:val="17"/>
          <w:szCs w:val="17"/>
          <w:color w:val="auto"/>
        </w:rPr>
        <w:t>and not to release the Depositary from the obligations set forth in, or otherwise amend, terminate or fail to enforce the Depositary Letter (as defined elsewhere in this Agreement) without the prior written consent of the Representatives during the Lock-Up Period.</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severally represents and agrees that:</w:t>
      </w:r>
    </w:p>
    <w:p>
      <w:pPr>
        <w:spacing w:after="0" w:line="117" w:lineRule="exact"/>
        <w:rPr>
          <w:sz w:val="20"/>
          <w:szCs w:val="20"/>
          <w:color w:val="auto"/>
        </w:rPr>
      </w:pPr>
    </w:p>
    <w:p>
      <w:pPr>
        <w:ind w:left="-40" w:firstLine="436"/>
        <w:spacing w:after="0" w:line="254" w:lineRule="auto"/>
        <w:tabs>
          <w:tab w:leader="none" w:pos="64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3(d) above (including any electronic road show approved by the Company), or (iii) any free writing prospectus prepared by such underwriter and approved by the Company in advance in writing (each such free writing prospectus referred to in clauses (i) or (iii), an “Underwriter Free Writing Prospectus”).</w:t>
      </w:r>
    </w:p>
    <w:p>
      <w:pPr>
        <w:spacing w:after="0" w:line="83" w:lineRule="exact"/>
        <w:rPr>
          <w:rFonts w:ascii="Arial" w:cs="Arial" w:eastAsia="Arial" w:hAnsi="Arial"/>
          <w:sz w:val="18"/>
          <w:szCs w:val="18"/>
          <w:color w:val="auto"/>
        </w:rPr>
      </w:pPr>
    </w:p>
    <w:p>
      <w:pPr>
        <w:ind w:left="-40" w:firstLine="436"/>
        <w:spacing w:after="0" w:line="257" w:lineRule="auto"/>
        <w:tabs>
          <w:tab w:leader="none" w:pos="6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Offered Securities unless such terms have previously been included in a free writing prospectus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Underwriters may use a term sheet substantially in the form of Annex C hereto without the consent of the Company;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4" w:right="499" w:bottom="1440" w:gutter="0" w:footer="0" w:header="0"/>
        </w:sectPr>
      </w:pPr>
    </w:p>
    <w:bookmarkStart w:id="316" w:name="page317"/>
    <w:bookmarkEnd w:id="316"/>
    <w:p>
      <w:pPr>
        <w:ind w:left="4" w:right="300" w:firstLine="436"/>
        <w:spacing w:after="0" w:line="277" w:lineRule="auto"/>
        <w:tabs>
          <w:tab w:leader="none" w:pos="689"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is not subject to any pending proceeding under Section 8A of the Securities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ind w:left="4" w:right="20" w:firstLine="436"/>
        <w:spacing w:after="0" w:line="263" w:lineRule="auto"/>
        <w:tabs>
          <w:tab w:leader="none" w:pos="69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 has not and will not take any 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76" w:lineRule="exact"/>
        <w:rPr>
          <w:sz w:val="20"/>
          <w:szCs w:val="20"/>
          <w:color w:val="auto"/>
        </w:rPr>
      </w:pPr>
    </w:p>
    <w:p>
      <w:pPr>
        <w:ind w:left="4" w:right="60" w:firstLine="436"/>
        <w:spacing w:after="0" w:line="263" w:lineRule="auto"/>
        <w:tabs>
          <w:tab w:leader="none" w:pos="624"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Firm Securities on the Closing Date or the Option Securities on the Additional Closing Date, as the case may be, as provided herein is subject to the performance by the Company of its covenants and other obligations hereunder and to the following additional conditions:</w:t>
      </w:r>
    </w:p>
    <w:p>
      <w:pPr>
        <w:spacing w:after="0" w:line="76" w:lineRule="exact"/>
        <w:rPr>
          <w:sz w:val="20"/>
          <w:szCs w:val="20"/>
          <w:color w:val="auto"/>
        </w:rPr>
      </w:pPr>
    </w:p>
    <w:p>
      <w:pPr>
        <w:ind w:left="4" w:firstLine="436"/>
        <w:spacing w:after="0" w:line="255" w:lineRule="auto"/>
        <w:tabs>
          <w:tab w:leader="none" w:pos="689" w:val="left"/>
        </w:tabs>
        <w:numPr>
          <w:ilvl w:val="1"/>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or the ADS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shall be in effect, and no proceeding for such purpose, or pursuant to Section 8A under the Securities Act shall be pending before or, to the knowledge of the Company,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84" w:lineRule="exact"/>
        <w:rPr>
          <w:rFonts w:ascii="Arial" w:cs="Arial" w:eastAsia="Arial" w:hAnsi="Arial"/>
          <w:sz w:val="18"/>
          <w:szCs w:val="18"/>
          <w:color w:val="auto"/>
        </w:rPr>
      </w:pPr>
    </w:p>
    <w:p>
      <w:pPr>
        <w:ind w:left="4" w:right="20" w:firstLine="436"/>
        <w:spacing w:after="0" w:line="259" w:lineRule="auto"/>
        <w:tabs>
          <w:tab w:leader="none" w:pos="699" w:val="left"/>
        </w:tabs>
        <w:numPr>
          <w:ilvl w:val="1"/>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left="4" w:right="80" w:firstLine="436"/>
        <w:spacing w:after="0" w:line="275" w:lineRule="auto"/>
        <w:tabs>
          <w:tab w:leader="none" w:pos="689" w:val="left"/>
        </w:tabs>
        <w:numPr>
          <w:ilvl w:val="1"/>
          <w:numId w:val="214"/>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3(j) hereof shall have occurred or shall exist, which event</w:t>
      </w:r>
      <w:r>
        <w:rPr>
          <w:rFonts w:ascii="Arial" w:cs="Arial" w:eastAsia="Arial" w:hAnsi="Arial"/>
          <w:sz w:val="17"/>
          <w:szCs w:val="17"/>
          <w:i w:val="1"/>
          <w:iCs w:val="1"/>
          <w:color w:val="auto"/>
        </w:rPr>
        <w:t xml:space="preserve"> </w:t>
      </w:r>
      <w:r>
        <w:rPr>
          <w:rFonts w:ascii="Arial" w:cs="Arial" w:eastAsia="Arial" w:hAnsi="Arial"/>
          <w:sz w:val="17"/>
          <w:szCs w:val="17"/>
          <w:color w:val="auto"/>
        </w:rPr>
        <w:t>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Offered Securities on the Closing Date or the Additional Closing Date, as the case may be, on the terms and in the manner contemplated by this Agreement, the Pricing Disclosure Package and the Prospectus.</w:t>
      </w:r>
    </w:p>
    <w:p>
      <w:pPr>
        <w:spacing w:after="0" w:line="68" w:lineRule="exact"/>
        <w:rPr>
          <w:rFonts w:ascii="Arial" w:cs="Arial" w:eastAsia="Arial" w:hAnsi="Arial"/>
          <w:sz w:val="17"/>
          <w:szCs w:val="17"/>
          <w:color w:val="auto"/>
        </w:rPr>
      </w:pPr>
    </w:p>
    <w:p>
      <w:pPr>
        <w:ind w:left="704" w:hanging="264"/>
        <w:spacing w:after="0"/>
        <w:tabs>
          <w:tab w:leader="none" w:pos="704" w:val="left"/>
        </w:tabs>
        <w:numPr>
          <w:ilvl w:val="1"/>
          <w:numId w:val="214"/>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 case may be</w:t>
      </w:r>
    </w:p>
    <w:p>
      <w:pPr>
        <w:spacing w:after="0" w:line="46" w:lineRule="exact"/>
        <w:rPr>
          <w:rFonts w:ascii="Arial" w:cs="Arial" w:eastAsia="Arial" w:hAnsi="Arial"/>
          <w:sz w:val="16"/>
          <w:szCs w:val="16"/>
          <w:color w:val="auto"/>
        </w:rPr>
      </w:pPr>
    </w:p>
    <w:p>
      <w:pPr>
        <w:ind w:left="4" w:hanging="4"/>
        <w:spacing w:after="0" w:line="252" w:lineRule="auto"/>
        <w:tabs>
          <w:tab w:leader="none" w:pos="25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certificate of the chief executive officer of the Company and the chief financial officer of the Company (i) confirming that such officers have carefully reviewed the Registration Statement, the Pricing Disclosure Package and the Prospectus and, to the knowledge of such officers, the representations of the Company set forth in Section 3(b) and 3(e)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and (c) above;</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17" w:name="page318"/>
    <w:bookmarkEnd w:id="317"/>
    <w:p>
      <w:pPr>
        <w:ind w:left="-40" w:right="160" w:firstLine="436"/>
        <w:spacing w:after="0" w:line="254" w:lineRule="auto"/>
        <w:tabs>
          <w:tab w:leader="none" w:pos="645"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Comfort Letters. </w:t>
      </w:r>
      <w:r>
        <w:rPr>
          <w:rFonts w:ascii="Arial" w:cs="Arial" w:eastAsia="Arial" w:hAnsi="Arial"/>
          <w:sz w:val="18"/>
          <w:szCs w:val="18"/>
          <w:color w:val="auto"/>
        </w:rPr>
        <w:t>On the date of this Agreement and on the Closing Date or the Additional Closing Date, as the case may be Ernst &amp; Young</w:t>
      </w:r>
      <w:r>
        <w:rPr>
          <w:rFonts w:ascii="Arial" w:cs="Arial" w:eastAsia="Arial" w:hAnsi="Arial"/>
          <w:sz w:val="18"/>
          <w:szCs w:val="18"/>
          <w:i w:val="1"/>
          <w:iCs w:val="1"/>
          <w:color w:val="auto"/>
        </w:rPr>
        <w:t xml:space="preserve"> </w:t>
      </w:r>
      <w:r>
        <w:rPr>
          <w:rFonts w:ascii="Arial" w:cs="Arial" w:eastAsia="Arial" w:hAnsi="Arial"/>
          <w:sz w:val="18"/>
          <w:szCs w:val="18"/>
          <w:color w:val="auto"/>
        </w:rPr>
        <w:t>Hua Ming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7 business days prior to such Closing Date or such Additional Closing Date, as the case may be.</w:t>
      </w:r>
    </w:p>
    <w:p>
      <w:pPr>
        <w:spacing w:after="0" w:line="86" w:lineRule="exact"/>
        <w:rPr>
          <w:rFonts w:ascii="Arial" w:cs="Arial" w:eastAsia="Arial" w:hAnsi="Arial"/>
          <w:sz w:val="18"/>
          <w:szCs w:val="18"/>
          <w:color w:val="auto"/>
        </w:rPr>
      </w:pPr>
    </w:p>
    <w:p>
      <w:pPr>
        <w:ind w:left="-40" w:right="40" w:firstLine="436"/>
        <w:spacing w:after="0" w:line="301" w:lineRule="auto"/>
        <w:tabs>
          <w:tab w:leader="none" w:pos="625"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CFO Certificate</w:t>
      </w:r>
      <w:r>
        <w:rPr>
          <w:rFonts w:ascii="Arial" w:cs="Arial" w:eastAsia="Arial" w:hAnsi="Arial"/>
          <w:sz w:val="16"/>
          <w:szCs w:val="16"/>
          <w:color w:val="auto"/>
        </w:rPr>
        <w:t>. On the date of this Agreement and on the Closing Date or the Additional Closing Date, as the case may be,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furnished to the Representatives, upon their request, a certificate on behalf of the Company,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49" w:lineRule="exact"/>
        <w:rPr>
          <w:rFonts w:ascii="Arial" w:cs="Arial" w:eastAsia="Arial" w:hAnsi="Arial"/>
          <w:sz w:val="16"/>
          <w:szCs w:val="16"/>
          <w:color w:val="auto"/>
        </w:rPr>
      </w:pPr>
    </w:p>
    <w:p>
      <w:pPr>
        <w:ind w:left="-40" w:firstLine="436"/>
        <w:spacing w:after="0" w:line="289" w:lineRule="auto"/>
        <w:tabs>
          <w:tab w:leader="none" w:pos="655"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Company. </w:t>
      </w:r>
      <w:r>
        <w:rPr>
          <w:rFonts w:ascii="Arial" w:cs="Arial" w:eastAsia="Arial" w:hAnsi="Arial"/>
          <w:sz w:val="16"/>
          <w:szCs w:val="16"/>
          <w:color w:val="auto"/>
        </w:rPr>
        <w:t>(i) Davis Polk &amp; Wardwell LLP, U.S. counsel for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at the request of the Company, their written opinion and 10b-5 statement, dated the Closing Date or the Additional Closing Date, as the case may be, in form and substance reasonably satisfactory to the Representatives; (ii) Davis Polk &amp; Wardwell LLP, Hong Kong counsel for the Company, shall have furnished to the Representatives, at the request of the Company, their written opinion, dated the Closing Date or the Additional Closing Date, as the case may be, in form and substance reasonably satisfactory to the Representatives; (iii) Fangda Partners, PRC counsel for the Company, shall have furnished to the Representatives, at the request of the Company, their written opinion, dated the Closing Date or the Additional Closing Date, as the case may be, in form and substance reasonably satisfactory to the Representatives; and (iv) Conyers Dill &amp; Pearman, Cayman Islands counsel for the Company shall have furnished to the Representatives, at the request of the Company, their written opinion, dated the Closing Date or the Additional Closing Date, as the case may be, in form and substance reasonably satisfactory to the Representatives.</w:t>
      </w:r>
    </w:p>
    <w:p>
      <w:pPr>
        <w:spacing w:after="0" w:line="58" w:lineRule="exact"/>
        <w:rPr>
          <w:rFonts w:ascii="Arial" w:cs="Arial" w:eastAsia="Arial" w:hAnsi="Arial"/>
          <w:sz w:val="16"/>
          <w:szCs w:val="16"/>
          <w:color w:val="auto"/>
        </w:rPr>
      </w:pPr>
    </w:p>
    <w:p>
      <w:pPr>
        <w:ind w:left="-40" w:right="180" w:firstLine="436"/>
        <w:spacing w:after="0" w:line="293" w:lineRule="auto"/>
        <w:tabs>
          <w:tab w:leader="none" w:pos="655"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Closing Date, as the case may be (i) an opinion and 10b-5 statement, addressed to the Underwriters, of Kirkland &amp; Ellis International LLP, U.S. counsel for the Underwriters, with respect to such matters as the Representatives may reasonably request, and such counsel shall have received such documents and information as they may reasonably request to enable them to pass upon such matters; and (ii) an opinion addressed to the Underwriters, of Hankun Law Office, PRC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80" w:top="274" w:right="479" w:bottom="1440" w:gutter="0" w:footer="0" w:header="0"/>
        </w:sectPr>
      </w:pPr>
    </w:p>
    <w:bookmarkStart w:id="318" w:name="page319"/>
    <w:bookmarkEnd w:id="318"/>
    <w:p>
      <w:pPr>
        <w:ind w:left="-20" w:right="60" w:firstLine="436"/>
        <w:spacing w:after="0" w:line="263" w:lineRule="auto"/>
        <w:tabs>
          <w:tab w:leader="none" w:pos="63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Opinion of Counsel for the Depository. </w:t>
      </w:r>
      <w:r>
        <w:rPr>
          <w:rFonts w:ascii="Arial" w:cs="Arial" w:eastAsia="Arial" w:hAnsi="Arial"/>
          <w:sz w:val="18"/>
          <w:szCs w:val="18"/>
          <w:color w:val="auto"/>
        </w:rPr>
        <w:t>Emmet, Marvin &amp; Martin, LLP, counsel for the Depository, shall have furnished to the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their written opinion, dated the Closing Date or the Additional Closing Date, as the case may be, in form and substance reasonably satisfactory to the Representatives;</w:t>
      </w:r>
    </w:p>
    <w:p>
      <w:pPr>
        <w:spacing w:after="0" w:line="75" w:lineRule="exact"/>
        <w:rPr>
          <w:rFonts w:ascii="Arial" w:cs="Arial" w:eastAsia="Arial" w:hAnsi="Arial"/>
          <w:sz w:val="18"/>
          <w:szCs w:val="18"/>
          <w:color w:val="auto"/>
        </w:rPr>
      </w:pPr>
    </w:p>
    <w:p>
      <w:pPr>
        <w:ind w:left="-20" w:firstLine="436"/>
        <w:spacing w:after="0" w:line="257" w:lineRule="auto"/>
        <w:tabs>
          <w:tab w:leader="none" w:pos="63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and/or Sale. </w:t>
      </w:r>
      <w:r>
        <w:rPr>
          <w:rFonts w:ascii="Arial" w:cs="Arial" w:eastAsia="Arial" w:hAnsi="Arial"/>
          <w:sz w:val="18"/>
          <w:szCs w:val="18"/>
          <w:color w:val="auto"/>
        </w:rPr>
        <w:t>No action shall have been taken and no statute, rule, regulation or order shall have been enacted,</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or issued by any federal, state or foreign governmental or regulatory authority that would, as of the Closing Date or the Additional Closing Date, as the case may be, prevent the issuance or sale of the Offered Securities by the Company; and no injunction or order of any federal, state or foreign court shall have been issued that would, as of the Closing Date or the Additional Closing Date, as the case may be, prevent the issuance or sale of the Offered Securities by the Company.</w:t>
      </w:r>
    </w:p>
    <w:p>
      <w:pPr>
        <w:spacing w:after="0" w:line="79" w:lineRule="exact"/>
        <w:rPr>
          <w:rFonts w:ascii="Arial" w:cs="Arial" w:eastAsia="Arial" w:hAnsi="Arial"/>
          <w:sz w:val="18"/>
          <w:szCs w:val="18"/>
          <w:color w:val="auto"/>
        </w:rPr>
      </w:pPr>
    </w:p>
    <w:p>
      <w:pPr>
        <w:ind w:left="-20" w:right="80" w:firstLine="436"/>
        <w:spacing w:after="0" w:line="277" w:lineRule="auto"/>
        <w:tabs>
          <w:tab w:leader="none" w:pos="675" w:val="left"/>
        </w:tabs>
        <w:numPr>
          <w:ilvl w:val="0"/>
          <w:numId w:val="217"/>
        </w:numPr>
        <w:rPr>
          <w:rFonts w:ascii="Arial" w:cs="Arial" w:eastAsia="Arial" w:hAnsi="Arial"/>
          <w:sz w:val="18"/>
          <w:szCs w:val="18"/>
          <w:u w:val="single" w:color="auto"/>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Offered Securities to be delivered on the Closing Date [or the Additional Closing Date, as the case may be,]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approved for listing on the Nasdaq Market, subject to official notice of issuance.</w:t>
      </w:r>
    </w:p>
    <w:p>
      <w:pPr>
        <w:spacing w:after="0" w:line="62" w:lineRule="exact"/>
        <w:rPr>
          <w:rFonts w:ascii="Arial" w:cs="Arial" w:eastAsia="Arial" w:hAnsi="Arial"/>
          <w:sz w:val="18"/>
          <w:szCs w:val="18"/>
          <w:u w:val="single" w:color="auto"/>
          <w:color w:val="auto"/>
        </w:rPr>
      </w:pPr>
    </w:p>
    <w:p>
      <w:pPr>
        <w:ind w:left="-20" w:right="640" w:firstLine="436"/>
        <w:spacing w:after="0" w:line="277" w:lineRule="auto"/>
        <w:tabs>
          <w:tab w:leader="none" w:pos="635" w:val="left"/>
        </w:tabs>
        <w:numPr>
          <w:ilvl w:val="0"/>
          <w:numId w:val="217"/>
        </w:numPr>
        <w:rPr>
          <w:rFonts w:ascii="Arial" w:cs="Arial" w:eastAsia="Arial" w:hAnsi="Arial"/>
          <w:sz w:val="18"/>
          <w:szCs w:val="18"/>
          <w:u w:val="single" w:color="auto"/>
          <w:color w:val="auto"/>
        </w:rPr>
      </w:pPr>
      <w:r>
        <w:rPr>
          <w:rFonts w:ascii="Arial" w:cs="Arial" w:eastAsia="Arial" w:hAnsi="Arial"/>
          <w:sz w:val="18"/>
          <w:szCs w:val="18"/>
          <w:i w:val="1"/>
          <w:iCs w:val="1"/>
          <w:color w:val="auto"/>
        </w:rPr>
        <w:t xml:space="preserve">ADSs. </w:t>
      </w:r>
      <w:r>
        <w:rPr>
          <w:rFonts w:ascii="Arial" w:cs="Arial" w:eastAsia="Arial" w:hAnsi="Arial"/>
          <w:sz w:val="18"/>
          <w:szCs w:val="18"/>
          <w:color w:val="auto"/>
        </w:rPr>
        <w:t>On or prior to the Closing Date or the Additional Closing Date, as the case may be, the ADSs shall be eligible for clearance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through the facilities of DTC.</w:t>
      </w:r>
    </w:p>
    <w:p>
      <w:pPr>
        <w:spacing w:after="0" w:line="62" w:lineRule="exact"/>
        <w:rPr>
          <w:rFonts w:ascii="Arial" w:cs="Arial" w:eastAsia="Arial" w:hAnsi="Arial"/>
          <w:sz w:val="18"/>
          <w:szCs w:val="18"/>
          <w:u w:val="single" w:color="auto"/>
          <w:color w:val="auto"/>
        </w:rPr>
      </w:pPr>
    </w:p>
    <w:p>
      <w:pPr>
        <w:ind w:left="-20" w:right="140" w:firstLine="436"/>
        <w:spacing w:after="0" w:line="311" w:lineRule="auto"/>
        <w:tabs>
          <w:tab w:leader="none" w:pos="725" w:val="left"/>
        </w:tabs>
        <w:numPr>
          <w:ilvl w:val="0"/>
          <w:numId w:val="217"/>
        </w:numPr>
        <w:rPr>
          <w:rFonts w:ascii="Arial" w:cs="Arial" w:eastAsia="Arial" w:hAnsi="Arial"/>
          <w:sz w:val="16"/>
          <w:szCs w:val="16"/>
          <w:u w:val="single" w:color="auto"/>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 Exhibit A hereto, between the Representatives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officers and directors of 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40" w:lineRule="exact"/>
        <w:rPr>
          <w:rFonts w:ascii="Arial" w:cs="Arial" w:eastAsia="Arial" w:hAnsi="Arial"/>
          <w:sz w:val="16"/>
          <w:szCs w:val="16"/>
          <w:u w:val="single" w:color="auto"/>
          <w:color w:val="auto"/>
        </w:rPr>
      </w:pPr>
    </w:p>
    <w:p>
      <w:pPr>
        <w:ind w:left="-20" w:right="480" w:firstLine="436"/>
        <w:spacing w:after="0" w:line="277" w:lineRule="auto"/>
        <w:tabs>
          <w:tab w:leader="none" w:pos="67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HKEx Approval</w:t>
      </w:r>
      <w:r>
        <w:rPr>
          <w:rFonts w:ascii="Arial" w:cs="Arial" w:eastAsia="Arial" w:hAnsi="Arial"/>
          <w:sz w:val="18"/>
          <w:szCs w:val="18"/>
          <w:color w:val="auto"/>
        </w:rPr>
        <w:t>. The Company shall have obtained a letter from the Hong Kong Stock Exchange approving the proposed spin-off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from its parent company, Kingsoft Corporation Limited, and such approval shall not have been revoked</w:t>
      </w:r>
    </w:p>
    <w:p>
      <w:pPr>
        <w:spacing w:after="0" w:line="62" w:lineRule="exact"/>
        <w:rPr>
          <w:rFonts w:ascii="Arial" w:cs="Arial" w:eastAsia="Arial" w:hAnsi="Arial"/>
          <w:sz w:val="18"/>
          <w:szCs w:val="18"/>
          <w:color w:val="auto"/>
        </w:rPr>
      </w:pPr>
    </w:p>
    <w:p>
      <w:pPr>
        <w:ind w:left="-20" w:right="120" w:firstLine="436"/>
        <w:spacing w:after="0" w:line="259" w:lineRule="auto"/>
        <w:tabs>
          <w:tab w:leader="none" w:pos="675"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Agreement with the Depositary</w:t>
      </w:r>
      <w:r>
        <w:rPr>
          <w:rFonts w:ascii="Arial" w:cs="Arial" w:eastAsia="Arial" w:hAnsi="Arial"/>
          <w:sz w:val="18"/>
          <w:szCs w:val="18"/>
          <w:color w:val="auto"/>
        </w:rPr>
        <w:t>. The Company shall have delivered to the Representatives executed copies of an agreement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the Depositary (the “Depositary Letter”), in form and substance satisfactory to the Representatives, to the effect that during the Lock-Up Period the Depositary will not accept any Ordinary Shares for deposit under the Deposit Agreement except pursuant to written authorization from the Representatives.</w:t>
      </w:r>
    </w:p>
    <w:p>
      <w:pPr>
        <w:spacing w:after="0" w:line="78" w:lineRule="exact"/>
        <w:rPr>
          <w:rFonts w:ascii="Arial" w:cs="Arial" w:eastAsia="Arial" w:hAnsi="Arial"/>
          <w:sz w:val="18"/>
          <w:szCs w:val="18"/>
          <w:color w:val="auto"/>
        </w:rPr>
      </w:pPr>
    </w:p>
    <w:p>
      <w:pPr>
        <w:ind w:left="680" w:hanging="264"/>
        <w:spacing w:after="0"/>
        <w:tabs>
          <w:tab w:leader="none" w:pos="680" w:val="left"/>
        </w:tabs>
        <w:numPr>
          <w:ilvl w:val="0"/>
          <w:numId w:val="217"/>
        </w:numPr>
        <w:rPr>
          <w:rFonts w:ascii="Arial" w:cs="Arial" w:eastAsia="Arial" w:hAnsi="Arial"/>
          <w:sz w:val="18"/>
          <w:szCs w:val="18"/>
          <w:u w:val="single" w:color="auto"/>
          <w:color w:val="auto"/>
        </w:rPr>
      </w:pPr>
      <w:r>
        <w:rPr>
          <w:rFonts w:ascii="Arial" w:cs="Arial" w:eastAsia="Arial" w:hAnsi="Arial"/>
          <w:sz w:val="18"/>
          <w:szCs w:val="18"/>
          <w:i w:val="1"/>
          <w:iCs w:val="1"/>
          <w:color w:val="auto"/>
        </w:rPr>
        <w:t>Deposit Agreement</w:t>
      </w:r>
      <w:r>
        <w:rPr>
          <w:rFonts w:ascii="Arial" w:cs="Arial" w:eastAsia="Arial" w:hAnsi="Arial"/>
          <w:sz w:val="18"/>
          <w:szCs w:val="18"/>
          <w:color w:val="auto"/>
        </w:rPr>
        <w:t>. The Deposit Agreement shall be in full force and effect; and</w:t>
      </w:r>
    </w:p>
    <w:p>
      <w:pPr>
        <w:spacing w:after="0" w:line="117" w:lineRule="exact"/>
        <w:rPr>
          <w:rFonts w:ascii="Arial" w:cs="Arial" w:eastAsia="Arial" w:hAnsi="Arial"/>
          <w:sz w:val="18"/>
          <w:szCs w:val="18"/>
          <w:u w:val="single" w:color="auto"/>
          <w:color w:val="auto"/>
        </w:rPr>
      </w:pPr>
    </w:p>
    <w:p>
      <w:pPr>
        <w:ind w:left="-20" w:right="80" w:firstLine="436"/>
        <w:spacing w:after="0" w:line="275" w:lineRule="auto"/>
        <w:tabs>
          <w:tab w:leader="none" w:pos="675" w:val="left"/>
        </w:tabs>
        <w:numPr>
          <w:ilvl w:val="0"/>
          <w:numId w:val="217"/>
        </w:numPr>
        <w:rPr>
          <w:rFonts w:ascii="Arial" w:cs="Arial" w:eastAsia="Arial" w:hAnsi="Arial"/>
          <w:sz w:val="17"/>
          <w:szCs w:val="17"/>
          <w:u w:val="single" w:color="auto"/>
          <w:color w:val="auto"/>
        </w:rPr>
      </w:pPr>
      <w:r>
        <w:rPr>
          <w:rFonts w:ascii="Arial" w:cs="Arial" w:eastAsia="Arial" w:hAnsi="Arial"/>
          <w:sz w:val="17"/>
          <w:szCs w:val="17"/>
          <w:i w:val="1"/>
          <w:iCs w:val="1"/>
          <w:color w:val="auto"/>
        </w:rPr>
        <w:t>Depositary Certificate</w:t>
      </w:r>
      <w:r>
        <w:rPr>
          <w:rFonts w:ascii="Arial" w:cs="Arial" w:eastAsia="Arial" w:hAnsi="Arial"/>
          <w:sz w:val="17"/>
          <w:szCs w:val="17"/>
          <w:color w:val="auto"/>
        </w:rPr>
        <w:t>. On the Closing Date or the Additional Closing Date, as the case may be, the Representatives shall have received a</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the Depositary, in form and substance satisfactory to the Representatives, executed by one of its authorized officers with respect to the deposit with the custodian under the Deposit Agreement of the Ordinary Shares underlying the ADSs to be purchased against the issuance of the ADRs evidencing such ADSs, the execution, issuance, countersignature and delivery of the ADRs evidencing such ADSs pursuant to the Deposit Agreement and such other matters related thereto as the Representatives may reasonably request.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4" w:right="479" w:bottom="1440" w:gutter="0" w:footer="0" w:header="0"/>
        </w:sectPr>
      </w:pPr>
    </w:p>
    <w:bookmarkStart w:id="319" w:name="page320"/>
    <w:bookmarkEnd w:id="319"/>
    <w:p>
      <w:pPr>
        <w:ind w:left="-20" w:right="120" w:firstLine="436"/>
        <w:spacing w:after="0" w:line="277" w:lineRule="auto"/>
        <w:tabs>
          <w:tab w:leader="none" w:pos="645"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FINRA</w:t>
      </w:r>
      <w:r>
        <w:rPr>
          <w:rFonts w:ascii="Arial" w:cs="Arial" w:eastAsia="Arial" w:hAnsi="Arial"/>
          <w:sz w:val="18"/>
          <w:szCs w:val="18"/>
          <w:color w:val="auto"/>
        </w:rPr>
        <w:t>. FINRA shall not have raised any objection with respect to the fairness or reasonableness of the underwriting or other arrangements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transactions contemplated hereunder.</w:t>
      </w:r>
    </w:p>
    <w:p>
      <w:pPr>
        <w:spacing w:after="0" w:line="62" w:lineRule="exact"/>
        <w:rPr>
          <w:rFonts w:ascii="Arial" w:cs="Arial" w:eastAsia="Arial" w:hAnsi="Arial"/>
          <w:sz w:val="18"/>
          <w:szCs w:val="18"/>
          <w:u w:val="single" w:color="auto"/>
          <w:color w:val="auto"/>
        </w:rPr>
      </w:pPr>
    </w:p>
    <w:p>
      <w:pPr>
        <w:ind w:left="-20" w:right="60" w:firstLine="436"/>
        <w:spacing w:after="0" w:line="277" w:lineRule="auto"/>
        <w:tabs>
          <w:tab w:leader="none" w:pos="655"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i w:val="1"/>
          <w:iCs w:val="1"/>
          <w:color w:val="auto"/>
        </w:rPr>
        <w:t xml:space="preserve">Filing Fees. </w:t>
      </w:r>
      <w:r>
        <w:rPr>
          <w:rFonts w:ascii="Arial" w:cs="Arial" w:eastAsia="Arial" w:hAnsi="Arial"/>
          <w:sz w:val="18"/>
          <w:szCs w:val="18"/>
          <w:color w:val="auto"/>
        </w:rPr>
        <w:t>The Company shall have paid the required Commission filing fees relating to the ADSs in such amount and within the time frame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Act and the rules and regulations of the Commission.</w:t>
      </w:r>
    </w:p>
    <w:p>
      <w:pPr>
        <w:spacing w:after="0" w:line="62" w:lineRule="exact"/>
        <w:rPr>
          <w:rFonts w:ascii="Arial" w:cs="Arial" w:eastAsia="Arial" w:hAnsi="Arial"/>
          <w:sz w:val="18"/>
          <w:szCs w:val="18"/>
          <w:u w:val="single" w:color="auto"/>
          <w:color w:val="auto"/>
        </w:rPr>
      </w:pPr>
    </w:p>
    <w:p>
      <w:pPr>
        <w:ind w:left="-20" w:right="160" w:firstLine="436"/>
        <w:spacing w:after="0" w:line="277" w:lineRule="auto"/>
        <w:tabs>
          <w:tab w:leader="none" w:pos="635"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62" w:lineRule="exact"/>
        <w:rPr>
          <w:rFonts w:ascii="Arial" w:cs="Arial" w:eastAsia="Arial" w:hAnsi="Arial"/>
          <w:sz w:val="18"/>
          <w:szCs w:val="18"/>
          <w:u w:val="single" w:color="auto"/>
          <w:color w:val="auto"/>
        </w:rPr>
      </w:pPr>
    </w:p>
    <w:p>
      <w:pPr>
        <w:ind w:left="-20" w:right="20" w:firstLine="436"/>
        <w:spacing w:after="0" w:line="277" w:lineRule="auto"/>
        <w:tabs>
          <w:tab w:leader="none" w:pos="67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Representatives may, in their sole discretion, waive on behalf of the Underwriters compliance with any conditions to the obligations of the Underwriters hereunder, whether in respect of a Closing Date or an Additional Closing Date.</w:t>
      </w:r>
    </w:p>
    <w:p>
      <w:pPr>
        <w:spacing w:after="0" w:line="62" w:lineRule="exact"/>
        <w:rPr>
          <w:sz w:val="20"/>
          <w:szCs w:val="20"/>
          <w:color w:val="auto"/>
        </w:rPr>
      </w:pPr>
    </w:p>
    <w:p>
      <w:pPr>
        <w:ind w:left="600" w:hanging="184"/>
        <w:spacing w:after="0"/>
        <w:tabs>
          <w:tab w:leader="none" w:pos="6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6" w:lineRule="auto"/>
        <w:tabs>
          <w:tab w:leader="none" w:pos="665"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Indemnification of the Underwriters by the Company.</w:t>
      </w:r>
      <w:r>
        <w:rPr>
          <w:rFonts w:ascii="Arial" w:cs="Arial" w:eastAsia="Arial" w:hAnsi="Arial"/>
          <w:sz w:val="16"/>
          <w:szCs w:val="16"/>
          <w:color w:val="auto"/>
        </w:rPr>
        <w:t>(a) The Company agrees to indemnify and hold harmless each Underwriter,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60" w:top="274" w:right="459" w:bottom="1440" w:gutter="0" w:footer="0" w:header="0"/>
        </w:sectPr>
      </w:pPr>
    </w:p>
    <w:bookmarkStart w:id="320" w:name="page321"/>
    <w:bookmarkEnd w:id="320"/>
    <w:p>
      <w:pPr>
        <w:ind w:right="60" w:firstLine="436"/>
        <w:spacing w:after="0" w:line="283" w:lineRule="auto"/>
        <w:tabs>
          <w:tab w:leader="none" w:pos="695"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Indemnification of the Company. </w:t>
      </w:r>
      <w:r>
        <w:rPr>
          <w:rFonts w:ascii="Arial" w:cs="Arial" w:eastAsia="Arial" w:hAnsi="Arial"/>
          <w:sz w:val="16"/>
          <w:szCs w:val="16"/>
          <w:color w:val="auto"/>
        </w:rPr>
        <w:t>Each Underwriter agrees, severally and not jointly,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 the concession and reallowance figures appearing in the [ _______ ]paragraph under the caption “Underwriting”, and (ii) the information contained in the [ ________</w:t>
      </w:r>
    </w:p>
    <w:p>
      <w:pPr>
        <w:spacing w:after="0" w:line="4" w:lineRule="exact"/>
        <w:rPr>
          <w:rFonts w:ascii="Arial" w:cs="Arial" w:eastAsia="Arial" w:hAnsi="Arial"/>
          <w:sz w:val="16"/>
          <w:szCs w:val="16"/>
          <w:color w:val="auto"/>
        </w:rPr>
      </w:pPr>
    </w:p>
    <w:p>
      <w:pPr>
        <w:ind w:right="1020"/>
        <w:spacing w:after="0" w:line="260" w:lineRule="auto"/>
        <w:rPr>
          <w:rFonts w:ascii="Arial" w:cs="Arial" w:eastAsia="Arial" w:hAnsi="Arial"/>
          <w:sz w:val="16"/>
          <w:szCs w:val="16"/>
          <w:color w:val="auto"/>
        </w:rPr>
      </w:pPr>
      <w:r>
        <w:rPr>
          <w:rFonts w:ascii="Arial" w:cs="Arial" w:eastAsia="Arial" w:hAnsi="Arial"/>
          <w:sz w:val="18"/>
          <w:szCs w:val="18"/>
          <w:color w:val="auto"/>
        </w:rPr>
        <w:t>]paragraph [the paragraphs (a) describing passive market making (b) including name and address of the Representatives] under the caption “Underwriting”.</w:t>
      </w:r>
    </w:p>
    <w:p>
      <w:pPr>
        <w:spacing w:after="0" w:line="77" w:lineRule="exact"/>
        <w:rPr>
          <w:rFonts w:ascii="Arial" w:cs="Arial" w:eastAsia="Arial" w:hAnsi="Arial"/>
          <w:sz w:val="16"/>
          <w:szCs w:val="16"/>
          <w:color w:val="auto"/>
        </w:rPr>
      </w:pPr>
    </w:p>
    <w:p>
      <w:pPr>
        <w:ind w:firstLine="436"/>
        <w:spacing w:after="0" w:line="283" w:lineRule="auto"/>
        <w:tabs>
          <w:tab w:leader="none" w:pos="685"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fees and expenses in such proceeding and shall pay the reasonably incurred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reasonably incurred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21" w:name="page322"/>
    <w:bookmarkEnd w:id="321"/>
    <w:p>
      <w:pPr>
        <w:ind w:firstLine="436"/>
        <w:spacing w:after="0" w:line="283" w:lineRule="auto"/>
        <w:tabs>
          <w:tab w:leader="none" w:pos="695"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Contribution. </w:t>
      </w:r>
      <w:r>
        <w:rPr>
          <w:rFonts w:ascii="Arial" w:cs="Arial" w:eastAsia="Arial" w:hAnsi="Arial"/>
          <w:sz w:val="16"/>
          <w:szCs w:val="16"/>
          <w:color w:val="auto"/>
        </w:rPr>
        <w:t>If the indemnification provided for in paragraphs (a), (b) or (c) above is unavailable to an Indemnified Person or insufficient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Offered Securities and the total underwriting discounts and commissions received by the Underwriters in connection therewith, in each case as set forth in the table on the cover of the Prospectus, bear to the aggregate offering price of the Offered Securities. The relative fault of the Company on the one</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hand, and the Underwriters [or [ ] in its capacity as a “qualified independent underwriter”, as the case may be,]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40" w:top="274" w:right="519" w:bottom="1440" w:gutter="0" w:footer="0" w:header="0"/>
        </w:sectPr>
      </w:pPr>
    </w:p>
    <w:bookmarkStart w:id="322" w:name="page323"/>
    <w:bookmarkEnd w:id="322"/>
    <w:p>
      <w:pPr>
        <w:ind w:left="684" w:hanging="244"/>
        <w:spacing w:after="0"/>
        <w:tabs>
          <w:tab w:leader="none" w:pos="684" w:val="left"/>
        </w:tabs>
        <w:numPr>
          <w:ilvl w:val="1"/>
          <w:numId w:val="2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Limitation on Liability. </w:t>
      </w:r>
      <w:r>
        <w:rPr>
          <w:rFonts w:ascii="Arial" w:cs="Arial" w:eastAsia="Arial" w:hAnsi="Arial"/>
          <w:sz w:val="16"/>
          <w:szCs w:val="16"/>
          <w:color w:val="auto"/>
        </w:rPr>
        <w:t>The Company and the Underwriters agree that it would not be just and equitable if contribution pursuant to paragraph</w:t>
      </w:r>
    </w:p>
    <w:p>
      <w:pPr>
        <w:spacing w:after="0" w:line="46" w:lineRule="exact"/>
        <w:rPr>
          <w:rFonts w:ascii="Arial" w:cs="Arial" w:eastAsia="Arial" w:hAnsi="Arial"/>
          <w:sz w:val="16"/>
          <w:szCs w:val="16"/>
          <w:color w:val="auto"/>
        </w:rPr>
      </w:pPr>
    </w:p>
    <w:p>
      <w:pPr>
        <w:ind w:left="4" w:hanging="4"/>
        <w:spacing w:after="0" w:line="286" w:lineRule="auto"/>
        <w:tabs>
          <w:tab w:leader="none" w:pos="25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Offered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61" w:lineRule="exact"/>
        <w:rPr>
          <w:rFonts w:ascii="Arial" w:cs="Arial" w:eastAsia="Arial" w:hAnsi="Arial"/>
          <w:sz w:val="16"/>
          <w:szCs w:val="16"/>
          <w:color w:val="auto"/>
        </w:rPr>
      </w:pPr>
    </w:p>
    <w:p>
      <w:pPr>
        <w:ind w:left="4" w:right="20" w:firstLine="436"/>
        <w:spacing w:after="0" w:line="277" w:lineRule="auto"/>
        <w:tabs>
          <w:tab w:leader="none" w:pos="669" w:val="left"/>
        </w:tabs>
        <w:numPr>
          <w:ilvl w:val="1"/>
          <w:numId w:val="22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paragraphs (a) through (e) are not exclusive and shall not limit any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remedies which may otherwise be available to any Indemnified Person at law or in equity.</w:t>
      </w:r>
    </w:p>
    <w:p>
      <w:pPr>
        <w:spacing w:after="0" w:line="62" w:lineRule="exact"/>
        <w:rPr>
          <w:sz w:val="20"/>
          <w:szCs w:val="20"/>
          <w:color w:val="auto"/>
        </w:rPr>
      </w:pPr>
    </w:p>
    <w:p>
      <w:pPr>
        <w:ind w:left="624" w:hanging="184"/>
        <w:spacing w:after="0"/>
        <w:tabs>
          <w:tab w:leader="none" w:pos="624"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117" w:lineRule="exact"/>
        <w:rPr>
          <w:rFonts w:ascii="Arial" w:cs="Arial" w:eastAsia="Arial" w:hAnsi="Arial"/>
          <w:sz w:val="18"/>
          <w:szCs w:val="18"/>
          <w:color w:val="auto"/>
        </w:rPr>
      </w:pPr>
    </w:p>
    <w:p>
      <w:pPr>
        <w:ind w:left="4" w:right="340" w:firstLine="436"/>
        <w:spacing w:after="0" w:line="287" w:lineRule="auto"/>
        <w:tabs>
          <w:tab w:leader="none" w:pos="624"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or, in the case of the Option Securities, prior to the Additional Closing Date (i) trading generally shall have been suspended or materially limited on or by any of the New York Stock Exchange or the Nasdaq Market;</w:t>
      </w:r>
    </w:p>
    <w:p>
      <w:pPr>
        <w:spacing w:after="0" w:line="2" w:lineRule="exact"/>
        <w:rPr>
          <w:rFonts w:ascii="Arial" w:cs="Arial" w:eastAsia="Arial" w:hAnsi="Arial"/>
          <w:sz w:val="16"/>
          <w:szCs w:val="16"/>
          <w:color w:val="auto"/>
        </w:rPr>
      </w:pPr>
    </w:p>
    <w:p>
      <w:pPr>
        <w:ind w:left="4" w:right="60" w:hanging="4"/>
        <w:spacing w:after="0" w:line="270" w:lineRule="auto"/>
        <w:tabs>
          <w:tab w:leader="none" w:pos="26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Offered Securities on the Closing Date or the Additional Closing Date, as the case may be on the terms and in the manner contemplated by this Agreement, the Pricing Disclosure Package and the Prospectus.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323" w:name="page324"/>
    <w:bookmarkEnd w:id="323"/>
    <w:p>
      <w:pPr>
        <w:ind w:left="700" w:hanging="264"/>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7" w:lineRule="auto"/>
        <w:tabs>
          <w:tab w:leader="none" w:pos="68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Offered Securities that it has agreed to purchase hereunder on such date, the non-defaulting Underwriters may in their discretion arrange for the purchase of such Offered Securities by other persons satisfactory to the Company on the terms contained in this Agreement. If, within 36 hours after any such default by any Underwriter, the non-defaulting Underwriters do not arrange for the purchase of such Offered Securities, then the Company shall be entitled to a further period of 36 hours within which to procure other persons satisfactory to the non-defaulting Underwriters to purchase such Offered Securities on such terms. If other persons become obligated or agree to purchase the Offered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Offered Securities that a defaulting Underwriter agreed but failed to purchase.</w:t>
      </w:r>
    </w:p>
    <w:p>
      <w:pPr>
        <w:spacing w:after="0" w:line="59" w:lineRule="exact"/>
        <w:rPr>
          <w:rFonts w:ascii="Arial" w:cs="Arial" w:eastAsia="Arial" w:hAnsi="Arial"/>
          <w:sz w:val="16"/>
          <w:szCs w:val="16"/>
          <w:color w:val="auto"/>
        </w:rPr>
      </w:pPr>
    </w:p>
    <w:p>
      <w:pPr>
        <w:ind w:left="700" w:hanging="264"/>
        <w:spacing w:after="0"/>
        <w:tabs>
          <w:tab w:leader="none" w:pos="7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Offered Securities of a defaulting Underwriter or Underwriters by the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non-defaulting Underwriters, the Company as provided in paragraph (a) above, the aggregate number of Offered Securities that remain unpurchased on the Closing Date or the Additional Closing Date, as the case may be, does not exceed one-tenth of the aggregate number of Offered Securities to be purchased on such date, then the Company shall have the right to require each non-defaulting Underwriter to purchase the number of Offered Securities that such Underwriter agreed to purchase hereunder on such date plus such Underwriter’s pro rata share (based on the number of Offered Securities that such Underwriter agreed to purchase on such date) of the Offered Securities of such defaulting Underwriter or Underwriters for which such arrangements have not been made.</w:t>
      </w:r>
    </w:p>
    <w:p>
      <w:pPr>
        <w:spacing w:after="0" w:line="8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(c) If, after giving effect to any arrangements for the purchase of the Offered Securities of a defaulting Underwriter or Underwriters by the non-defaulting Underwriters, the Company as provided in paragraph (a) above, the aggregate number of Offered Securities that remain unpurchased on the Closing Date or the Additional Closing Date, as the case may be exceeds one-tenth of the aggregate amount of Offered Securities to be purchased on such date, or if the Company shall not exercise the right described in paragraph (b) above, then this Agreement or, with respect to any Additional Closing Date, the obligation of the Underwriters to purchase Offered Securities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70" w:lineRule="exact"/>
        <w:rPr>
          <w:sz w:val="20"/>
          <w:szCs w:val="20"/>
          <w:color w:val="auto"/>
        </w:rPr>
      </w:pPr>
    </w:p>
    <w:p>
      <w:pPr>
        <w:ind w:firstLine="436"/>
        <w:spacing w:after="0" w:line="277"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24" w:name="page325"/>
    <w:bookmarkEnd w:id="324"/>
    <w:p>
      <w:pPr>
        <w:ind w:left="704" w:hanging="264"/>
        <w:spacing w:after="0"/>
        <w:tabs>
          <w:tab w:leader="none" w:pos="704"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left="4" w:right="20" w:firstLine="436"/>
        <w:spacing w:after="0" w:line="283" w:lineRule="auto"/>
        <w:tabs>
          <w:tab w:leader="none" w:pos="689" w:val="left"/>
        </w:tabs>
        <w:numPr>
          <w:ilvl w:val="1"/>
          <w:numId w:val="231"/>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Offered Securities, and any stamp, issuance, transfer or similar taxes payable in that connection; (ii) the costs incident to the preparation, printing and filing under the Securities Act of the Registration Statement, the ADS Registration Statement, the Form 8-A Registration Statement, the Preliminary Prospectus, any Issuer Free Writing Prospectus, any Pricing Disclosure Package and the Prospectus (including all exhibits, amendments and supplements thereto) and the distribution thereof; [(iii) the costs of reproducing and distributing each of the Transaction Documents, the agreement among Underwriters, any dealer agreements, any closing documents (including compilations thereof) and such other documents as may be required in connection with the offering, issuance, sale, purchase and delivery of the Offered Securities and American Depositary Shares, and the reproduction and/or printing and furnishing of copies of each thereof to the Underwriters and (except closing documents) to dealers (including costs of mailing and shipment);] (iv) the fees and expenses of the Company’s counsel and independent accountants;</w:t>
      </w:r>
    </w:p>
    <w:p>
      <w:pPr>
        <w:spacing w:after="0" w:line="4" w:lineRule="exact"/>
        <w:rPr>
          <w:rFonts w:ascii="Arial" w:cs="Arial" w:eastAsia="Arial" w:hAnsi="Arial"/>
          <w:sz w:val="16"/>
          <w:szCs w:val="16"/>
          <w:color w:val="auto"/>
        </w:rPr>
      </w:pPr>
    </w:p>
    <w:p>
      <w:pPr>
        <w:ind w:left="4" w:right="40" w:hanging="4"/>
        <w:spacing w:after="0" w:line="268" w:lineRule="auto"/>
        <w:tabs>
          <w:tab w:leader="none" w:pos="25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fees and expenses incurred in connection with the registration or qualification and determination of eligibility for investment of the Offered Securities under the laws of such jurisdictions as the Representatives may designate and the preparation, printing and distribution of a Blue Sky Memorandum (including the related fees and expenses of counsel for the Underwriters); (vi) the cost of preparing share certificates, if needed; [(vii) the costs and expenses of qualifying the Offered Securities for inclusion in the book-entry settlement system of the DTC; ] (viii) the costs and charges of any transfer agent, any registrar and any depositary; (ix) all [expenses and] application fees incurred in connection with any filing with, and clearance of the offering by, FINRA; (x) all expenses incurred by the Company in connection with any “road show” presentation to potential investors ; (x) all expenses and application fees related to the listing of the Offered Securities on the Nasdaq Market; and (xii) all other costs and expenses incident to the performance of the obligations of the Company hereunder for which provision is not otherwise made in this Section. [It is understood, however, that except as provided in Section 7 entitled “Indemnity and Contribution,” the Underwriters will pay the fees and disbursements of their counsel and will reimburse the Company a portion of its offering expenses.]</w:t>
      </w:r>
    </w:p>
    <w:p>
      <w:pPr>
        <w:spacing w:after="0" w:line="70" w:lineRule="exact"/>
        <w:rPr>
          <w:rFonts w:ascii="Arial" w:cs="Arial" w:eastAsia="Arial" w:hAnsi="Arial"/>
          <w:sz w:val="17"/>
          <w:szCs w:val="17"/>
          <w:color w:val="auto"/>
        </w:rPr>
      </w:pPr>
    </w:p>
    <w:p>
      <w:pPr>
        <w:ind w:left="4" w:firstLine="436"/>
        <w:spacing w:after="0" w:line="259" w:lineRule="auto"/>
        <w:tabs>
          <w:tab w:leader="none" w:pos="69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If (i) this Agreement is terminated pursuant to Section 9, (ii) the Company for any reason fails to tender the Offered Securities for delivery to the Underwriters or (iii) the Underwriters decline to purchase the Offered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w:t>
      </w:r>
    </w:p>
    <w:p>
      <w:pPr>
        <w:spacing w:after="0" w:line="79" w:lineRule="exact"/>
        <w:rPr>
          <w:sz w:val="20"/>
          <w:szCs w:val="20"/>
          <w:color w:val="auto"/>
        </w:rPr>
      </w:pPr>
    </w:p>
    <w:p>
      <w:pPr>
        <w:ind w:left="4" w:right="20" w:firstLine="436"/>
        <w:spacing w:after="0" w:line="257" w:lineRule="auto"/>
        <w:tabs>
          <w:tab w:leader="none" w:pos="71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Offered Securities from any Underwriter shall be deemed to be a successor merely by reason of such purchase.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325" w:name="page326"/>
    <w:bookmarkEnd w:id="325"/>
    <w:p>
      <w:pPr>
        <w:ind w:right="80" w:firstLine="436"/>
        <w:spacing w:after="0" w:line="257" w:lineRule="auto"/>
        <w:tabs>
          <w:tab w:leader="none" w:pos="71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Offered Securities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79" w:lineRule="exact"/>
        <w:rPr>
          <w:rFonts w:ascii="Arial" w:cs="Arial" w:eastAsia="Arial" w:hAnsi="Arial"/>
          <w:sz w:val="18"/>
          <w:szCs w:val="18"/>
          <w:color w:val="auto"/>
        </w:rPr>
      </w:pPr>
    </w:p>
    <w:p>
      <w:pPr>
        <w:jc w:val="both"/>
        <w:ind w:right="180" w:firstLine="436"/>
        <w:spacing w:after="0" w:line="311" w:lineRule="auto"/>
        <w:tabs>
          <w:tab w:leader="none" w:pos="710"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40" w:lineRule="exact"/>
        <w:rPr>
          <w:rFonts w:ascii="Arial" w:cs="Arial" w:eastAsia="Arial" w:hAnsi="Arial"/>
          <w:sz w:val="16"/>
          <w:szCs w:val="16"/>
          <w:color w:val="auto"/>
        </w:rPr>
      </w:pPr>
    </w:p>
    <w:p>
      <w:pPr>
        <w:ind w:firstLine="436"/>
        <w:spacing w:after="0" w:line="259" w:lineRule="auto"/>
        <w:tabs>
          <w:tab w:leader="none" w:pos="71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380" w:firstLine="436"/>
        <w:spacing w:after="0" w:line="287" w:lineRule="auto"/>
        <w:tabs>
          <w:tab w:leader="none" w:pos="685"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and other communications hereunder shall be in writing and shall be deemed to have been duly given if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transmitted and confirmed by any standard form of telecommunication. Notices to the Underwriters shall be given to the Representatives c/o (i) J.P. Morgan Securities LLC, 383 Madison Avenue, New York, New York 10179 (fax: (212) 622-8358); Attention: Equity Syndicate Desk; (ii) UBS</w:t>
      </w:r>
    </w:p>
    <w:p>
      <w:pPr>
        <w:sectPr>
          <w:pgSz w:w="11900" w:h="16838" w:orient="portrait"/>
          <w:cols w:equalWidth="0" w:num="1">
            <w:col w:w="11000"/>
          </w:cols>
          <w:pgMar w:left="440" w:top="274" w:right="459" w:bottom="1440" w:gutter="0" w:footer="0" w:header="0"/>
        </w:sectPr>
      </w:pPr>
    </w:p>
    <w:p>
      <w:pPr>
        <w:spacing w:after="0" w:line="2" w:lineRule="exact"/>
        <w:rPr>
          <w:sz w:val="20"/>
          <w:szCs w:val="20"/>
          <w:color w:val="auto"/>
        </w:rPr>
      </w:pPr>
    </w:p>
    <w:p>
      <w:pPr>
        <w:spacing w:after="0"/>
        <w:tabs>
          <w:tab w:leader="none" w:pos="2320" w:val="left"/>
          <w:tab w:leader="none" w:pos="4140" w:val="left"/>
          <w:tab w:leader="none" w:pos="8780" w:val="left"/>
        </w:tabs>
        <w:rPr>
          <w:sz w:val="20"/>
          <w:szCs w:val="20"/>
          <w:color w:val="auto"/>
        </w:rPr>
      </w:pPr>
      <w:r>
        <w:rPr>
          <w:rFonts w:ascii="Arial" w:cs="Arial" w:eastAsia="Arial" w:hAnsi="Arial"/>
          <w:sz w:val="18"/>
          <w:szCs w:val="18"/>
          <w:color w:val="auto"/>
        </w:rPr>
        <w:t>Securities LLC (fax: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8"/>
          <w:szCs w:val="18"/>
          <w:color w:val="auto"/>
        </w:rPr>
        <w:t>]; and (iii) Credit Suisse Securities (USA) LLC (fax: [</w:t>
      </w:r>
      <w:r>
        <w:rPr>
          <w:sz w:val="20"/>
          <w:szCs w:val="20"/>
          <w:color w:val="auto"/>
        </w:rPr>
        <w:tab/>
      </w:r>
      <w:r>
        <w:rPr>
          <w:rFonts w:ascii="Arial" w:cs="Arial" w:eastAsia="Arial" w:hAnsi="Arial"/>
          <w:sz w:val="17"/>
          <w:szCs w:val="17"/>
          <w:color w:val="auto"/>
        </w:rPr>
        <w:t>]); Attention: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Notices to the Company shall be given to it at ______________, _____________, ___________, (fax:______); Attention:__________.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330" w:lineRule="exact"/>
        <w:rPr>
          <w:sz w:val="20"/>
          <w:szCs w:val="20"/>
          <w:color w:val="auto"/>
        </w:rPr>
      </w:pPr>
    </w:p>
    <w:p>
      <w:pPr>
        <w:sectPr>
          <w:pgSz w:w="11900" w:h="16838" w:orient="portrait"/>
          <w:cols w:equalWidth="0" w:num="2">
            <w:col w:w="9900" w:space="720"/>
            <w:col w:w="380"/>
          </w:cols>
          <w:pgMar w:left="440" w:top="274" w:right="459" w:bottom="1440" w:gutter="0" w:footer="0" w:header="0"/>
          <w:type w:val="continuous"/>
        </w:sectPr>
      </w:pPr>
    </w:p>
    <w:p>
      <w:pPr>
        <w:ind w:right="300" w:firstLine="436"/>
        <w:spacing w:after="0" w:line="277"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62" w:lineRule="exact"/>
        <w:rPr>
          <w:rFonts w:ascii="Arial" w:cs="Arial" w:eastAsia="Arial" w:hAnsi="Arial"/>
          <w:sz w:val="18"/>
          <w:szCs w:val="18"/>
          <w:color w:val="auto"/>
        </w:rPr>
      </w:pPr>
    </w:p>
    <w:p>
      <w:pPr>
        <w:ind w:firstLine="436"/>
        <w:spacing w:after="0" w:line="286" w:lineRule="auto"/>
        <w:tabs>
          <w:tab w:leader="none" w:pos="685"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Submission to Jurisdiction</w:t>
      </w:r>
      <w:r>
        <w:rPr>
          <w:rFonts w:ascii="Arial" w:cs="Arial" w:eastAsia="Arial" w:hAnsi="Arial"/>
          <w:sz w:val="16"/>
          <w:szCs w:val="16"/>
          <w:color w:val="auto"/>
        </w:rPr>
        <w:t>. The Company hereby submits to the exclusive jurisdiction of the U.S. federal and New York state courts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irrevocably appoints Cogency Global Inc. as its authorized agent in the Borough of Manhattan in The City of New York upon which process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may be served in any such suit or proceeding, and agrees that service of process upon such authorized agent, and written notice of such service to the Company by the person serving the same to the address provided in this Section 16(c), shall be deemed in every respect effective service of process upon the Company in any such suit or proceeding. The Company hereby represents and warrants that such authorized agent has accepted such appointment and has agreed to act as such authorized agent for service of process. The Company further agrees to take any and all action as may be necessary to maintain such designation and appointment of such authorized agent in full force and effect for a period of seven years from the date of this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type w:val="continuous"/>
        </w:sectPr>
      </w:pPr>
    </w:p>
    <w:bookmarkStart w:id="326" w:name="page327"/>
    <w:bookmarkEnd w:id="326"/>
    <w:p>
      <w:pPr>
        <w:ind w:left="4" w:firstLine="436"/>
        <w:spacing w:after="0" w:line="270" w:lineRule="auto"/>
        <w:tabs>
          <w:tab w:leader="none" w:pos="699" w:val="left"/>
        </w:tabs>
        <w:numPr>
          <w:ilvl w:val="1"/>
          <w:numId w:val="23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Currency</w:t>
      </w:r>
      <w:r>
        <w:rPr>
          <w:rFonts w:ascii="Arial" w:cs="Arial" w:eastAsia="Arial" w:hAnsi="Arial"/>
          <w:sz w:val="17"/>
          <w:szCs w:val="17"/>
          <w:color w:val="auto"/>
        </w:rPr>
        <w:t>. The Company agrees to indemnify each Underwriter, its directors, officers, affiliates and each person, if any, who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such Underwriter within the meaning of Section 15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72" w:lineRule="exact"/>
        <w:rPr>
          <w:rFonts w:ascii="Arial" w:cs="Arial" w:eastAsia="Arial" w:hAnsi="Arial"/>
          <w:sz w:val="17"/>
          <w:szCs w:val="17"/>
          <w:color w:val="auto"/>
        </w:rPr>
      </w:pPr>
    </w:p>
    <w:p>
      <w:pPr>
        <w:ind w:left="4" w:right="180" w:firstLine="436"/>
        <w:spacing w:after="0" w:line="291" w:lineRule="auto"/>
        <w:tabs>
          <w:tab w:leader="none" w:pos="689"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Waiver of Immunity</w:t>
      </w:r>
      <w:r>
        <w:rPr>
          <w:rFonts w:ascii="Arial" w:cs="Arial" w:eastAsia="Arial" w:hAnsi="Arial"/>
          <w:sz w:val="16"/>
          <w:szCs w:val="16"/>
          <w:color w:val="auto"/>
        </w:rPr>
        <w:t>. To the extent that the Company has or hereafter may acquire any immunity (sovereign or otherwise) from jurisdiction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court of (i) Cayman Islands, the PRC or Hong Kong SAR, or any political subdivision thereof, (ii) the United States or the State of New York,</w:t>
      </w:r>
    </w:p>
    <w:p>
      <w:pPr>
        <w:jc w:val="both"/>
        <w:ind w:left="4" w:right="120" w:hanging="4"/>
        <w:spacing w:after="0" w:line="253" w:lineRule="auto"/>
        <w:tabs>
          <w:tab w:leader="none" w:pos="31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84" w:lineRule="exact"/>
        <w:rPr>
          <w:rFonts w:ascii="Arial" w:cs="Arial" w:eastAsia="Arial" w:hAnsi="Arial"/>
          <w:sz w:val="18"/>
          <w:szCs w:val="18"/>
          <w:color w:val="auto"/>
        </w:rPr>
      </w:pPr>
    </w:p>
    <w:p>
      <w:pPr>
        <w:ind w:left="4" w:right="20" w:firstLine="436"/>
        <w:spacing w:after="0" w:line="277" w:lineRule="auto"/>
        <w:tabs>
          <w:tab w:leader="none" w:pos="669" w:val="left"/>
        </w:tabs>
        <w:numPr>
          <w:ilvl w:val="1"/>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238"/>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00" w:firstLine="419"/>
        <w:spacing w:after="0" w:line="259" w:lineRule="auto"/>
        <w:tabs>
          <w:tab w:leader="none" w:pos="1082" w:val="left"/>
        </w:tabs>
        <w:numPr>
          <w:ilvl w:val="2"/>
          <w:numId w:val="23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44" w:right="80" w:firstLine="419"/>
        <w:spacing w:after="0" w:line="259" w:lineRule="auto"/>
        <w:tabs>
          <w:tab w:leader="none" w:pos="1132" w:val="left"/>
        </w:tabs>
        <w:numPr>
          <w:ilvl w:val="2"/>
          <w:numId w:val="23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4" w:right="439" w:bottom="1440" w:gutter="0" w:footer="0" w:header="0"/>
        </w:sectPr>
      </w:pPr>
    </w:p>
    <w:bookmarkStart w:id="327" w:name="page328"/>
    <w:bookmarkEnd w:id="327"/>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used in this Section 16(g):</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620" w:hanging="212"/>
        <w:spacing w:after="0"/>
        <w:tabs>
          <w:tab w:leader="none" w:pos="16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680" w:hanging="272"/>
        <w:spacing w:after="0"/>
        <w:tabs>
          <w:tab w:leader="none" w:pos="1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720" w:hanging="312"/>
        <w:spacing w:after="0"/>
        <w:tabs>
          <w:tab w:leader="none" w:pos="17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1220" w:hanging="253"/>
        <w:spacing w:after="0"/>
        <w:tabs>
          <w:tab w:leader="none" w:pos="12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02" w:lineRule="exact"/>
        <w:rPr>
          <w:rFonts w:ascii="Arial" w:cs="Arial" w:eastAsia="Arial" w:hAnsi="Arial"/>
          <w:sz w:val="18"/>
          <w:szCs w:val="18"/>
          <w:color w:val="auto"/>
        </w:rPr>
      </w:pPr>
    </w:p>
    <w:p>
      <w:pPr>
        <w:ind w:left="-20" w:right="1000" w:firstLine="436"/>
        <w:spacing w:after="0" w:line="342" w:lineRule="auto"/>
        <w:tabs>
          <w:tab w:leader="none" w:pos="675" w:val="left"/>
        </w:tabs>
        <w:numPr>
          <w:ilvl w:val="0"/>
          <w:numId w:val="241"/>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5" w:lineRule="exact"/>
        <w:rPr>
          <w:rFonts w:ascii="Arial" w:cs="Arial" w:eastAsia="Arial" w:hAnsi="Arial"/>
          <w:sz w:val="16"/>
          <w:szCs w:val="16"/>
          <w:color w:val="auto"/>
        </w:rPr>
      </w:pPr>
    </w:p>
    <w:p>
      <w:pPr>
        <w:ind w:left="-20" w:firstLine="436"/>
        <w:spacing w:after="0" w:line="277" w:lineRule="auto"/>
        <w:tabs>
          <w:tab w:leader="none" w:pos="635"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20" w:right="280" w:firstLine="436"/>
        <w:spacing w:after="0" w:line="277" w:lineRule="auto"/>
        <w:tabs>
          <w:tab w:leader="none" w:pos="635"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60" w:top="274" w:right="459" w:bottom="1440" w:gutter="0" w:footer="0" w:header="0"/>
        </w:sectPr>
      </w:pPr>
    </w:p>
    <w:bookmarkStart w:id="328" w:name="page329"/>
    <w:bookmarkEnd w:id="32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60"/>
          </w:cols>
          <w:pgMar w:left="440" w:top="274" w:right="79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Accepted: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32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19"/>
          </w:cols>
          <w:pgMar w:left="440" w:top="274" w:right="1440" w:bottom="1440" w:gutter="0" w:footer="0" w:header="0"/>
        </w:sectPr>
      </w:pPr>
    </w:p>
    <w:bookmarkStart w:id="330" w:name="page331"/>
    <w:bookmarkEnd w:id="3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440" w:type="dxa"/>
            <w:vAlign w:val="bottom"/>
          </w:tcPr>
          <w:p>
            <w:pPr>
              <w:jc w:val="center"/>
              <w:ind w:left="6268"/>
              <w:spacing w:after="0"/>
              <w:rPr>
                <w:sz w:val="20"/>
                <w:szCs w:val="20"/>
                <w:color w:val="auto"/>
              </w:rPr>
            </w:pPr>
            <w:r>
              <w:rPr>
                <w:rFonts w:ascii="Arial" w:cs="Arial" w:eastAsia="Arial" w:hAnsi="Arial"/>
                <w:sz w:val="14"/>
                <w:szCs w:val="14"/>
                <w:b w:val="1"/>
                <w:bCs w:val="1"/>
                <w:color w:val="auto"/>
                <w:w w:val="97"/>
              </w:rPr>
              <w:t>Number of Firm</w:t>
            </w: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8440" w:type="dxa"/>
            <w:vAlign w:val="bottom"/>
          </w:tcPr>
          <w:p>
            <w:pPr>
              <w:jc w:val="center"/>
              <w:ind w:left="6268"/>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7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1"/>
              </w:rPr>
              <w:t>of Option Securities</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8440" w:type="dxa"/>
            <w:vAlign w:val="bottom"/>
          </w:tcPr>
          <w:p>
            <w:pPr>
              <w:jc w:val="center"/>
              <w:ind w:left="6268"/>
              <w:spacing w:after="0" w:line="158" w:lineRule="exact"/>
              <w:rPr>
                <w:sz w:val="20"/>
                <w:szCs w:val="20"/>
                <w:color w:val="auto"/>
              </w:rPr>
            </w:pPr>
            <w:r>
              <w:rPr>
                <w:rFonts w:ascii="Arial" w:cs="Arial" w:eastAsia="Arial" w:hAnsi="Arial"/>
                <w:sz w:val="14"/>
                <w:szCs w:val="14"/>
                <w:b w:val="1"/>
                <w:bCs w:val="1"/>
                <w:color w:val="auto"/>
                <w:w w:val="92"/>
              </w:rPr>
              <w:t>Purchased</w:t>
            </w:r>
          </w:p>
        </w:tc>
        <w:tc>
          <w:tcPr>
            <w:tcW w:w="1740" w:type="dxa"/>
            <w:vAlign w:val="bottom"/>
          </w:tcPr>
          <w:p>
            <w:pPr>
              <w:jc w:val="center"/>
              <w:ind w:left="468"/>
              <w:spacing w:after="0" w:line="158" w:lineRule="exact"/>
              <w:rPr>
                <w:sz w:val="20"/>
                <w:szCs w:val="20"/>
                <w:color w:val="auto"/>
              </w:rPr>
            </w:pPr>
            <w:r>
              <w:rPr>
                <w:rFonts w:ascii="Arial" w:cs="Arial" w:eastAsia="Arial" w:hAnsi="Arial"/>
                <w:sz w:val="14"/>
                <w:szCs w:val="14"/>
                <w:b w:val="1"/>
                <w:bCs w:val="1"/>
                <w:color w:val="auto"/>
                <w:w w:val="90"/>
              </w:rPr>
              <w:t>To Be 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331" w:name="page332"/>
    <w:bookmarkEnd w:id="3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LOCKED-UP PARTIES</w:t>
      </w:r>
    </w:p>
    <w:p>
      <w:pPr>
        <w:sectPr>
          <w:pgSz w:w="11900" w:h="16838" w:orient="portrait"/>
          <w:cols w:equalWidth="0" w:num="1">
            <w:col w:w="9019"/>
          </w:cols>
          <w:pgMar w:left="1440" w:top="270" w:right="1440"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6136005</wp:posOffset>
            </wp:positionH>
            <wp:positionV relativeFrom="paragraph">
              <wp:posOffset>-10160</wp:posOffset>
            </wp:positionV>
            <wp:extent cx="5715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Kingsoft Cloud Holdings Limited—Public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The undersigned understands that you, as Representatives of the several Underwriters, propose to enter into an underwriting agreement (the “Underwriting Agreement”) with Kingsoft Cloud Holdings Limited, an exempted company incorporated under the laws of the Cayman Islands (the “Company”), providing for the public offering (the “Public Offering”) by the several Underwriters named in Schedule 1 to the Underwriting Agreement</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“Underwriters”), of American Depositary Shares (“ADSs”), each ADS representing ordinary shares, par value US$0.001 per share, of the Company (the “Ordinary Shares”). Capitalized terms used herein and not otherwise defined shall have the meanings set forth in the Underwriting Agreement.</w:t>
      </w:r>
    </w:p>
    <w:p>
      <w:pPr>
        <w:sectPr>
          <w:pgSz w:w="11900" w:h="16838" w:orient="portrait"/>
          <w:cols w:equalWidth="0" w:num="1">
            <w:col w:w="11020"/>
          </w:cols>
          <w:pgMar w:left="440" w:top="270" w:right="439" w:bottom="1440" w:gutter="0" w:footer="0" w:header="0"/>
        </w:sectPr>
      </w:pPr>
    </w:p>
    <w:bookmarkStart w:id="333" w:name="page334"/>
    <w:bookmarkEnd w:id="333"/>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consideration of the Underwriters’ agreement to purchase and make the Public Offering of the ADSs, and for other good and valuable consideration receipt of which is hereby acknowledged, the undersigned hereby agrees that, without the prior written consent of the Representatives on behalf of the Underwriters , the undersigned will not, and will not cause any direct or indirect controlled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Ordinary Share, ADSs or any securities convertible into or exercisable or exchangeable for Ordinary Shares or ADSs (including without limitation, Ordinary Shares or ADSs, or such other securities which may be deemed to be beneficially owned by the undersigned in accordance with the rules and regulations of the United States Securities and Exchange Commission and securities which may be issued upon exercise of a share option or warrant) (collectively with the Ordinary Shares and ADSs, the “Lock-Up Securities”), (2) enter into any swap or other agreement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 or (4) publicly disclose the intention to do any of the foregoing;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however, that the foregoing restrictions shall not apply to transactions relating solely to Lock-up Securities acquired (a) in the Public Offering or (b) in open market transactions after the closing date for the Public Offering,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filing by any party under the Securities Exchange Act of 1934, as amended (the “Exchange Act”), or other public announcement shall be required or made voluntarily in connection with any subsequent sale of such Lock-Up Securities acquired in the Public Offering or in such open market transactions.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controlled affiliates, is a party to as of the date hereof, which transaction would have been restricted by this Letter Agreement if it had been entered into by the undersigned during the Restricted Period.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undersigned may: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transfer the undersigned’s Lock-Up Securities:</w:t>
      </w:r>
    </w:p>
    <w:p>
      <w:pPr>
        <w:spacing w:after="0" w:line="117" w:lineRule="exact"/>
        <w:rPr>
          <w:sz w:val="20"/>
          <w:szCs w:val="20"/>
          <w:color w:val="auto"/>
        </w:rPr>
      </w:pPr>
    </w:p>
    <w:p>
      <w:pPr>
        <w:ind w:left="660" w:hanging="224"/>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a bona fide gift or gifts, or for bona fide estate planning purposes,</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by will or intestacy,</w:t>
      </w:r>
    </w:p>
    <w:p>
      <w:pPr>
        <w:spacing w:after="0" w:line="117" w:lineRule="exact"/>
        <w:rPr>
          <w:rFonts w:ascii="Arial" w:cs="Arial" w:eastAsia="Arial" w:hAnsi="Arial"/>
          <w:sz w:val="18"/>
          <w:szCs w:val="18"/>
          <w:color w:val="auto"/>
        </w:rPr>
      </w:pPr>
    </w:p>
    <w:p>
      <w:pPr>
        <w:ind w:right="20" w:firstLine="436"/>
        <w:spacing w:after="0" w:line="286" w:lineRule="auto"/>
        <w:tabs>
          <w:tab w:leader="none" w:pos="75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ectPr>
          <w:pgSz w:w="11900" w:h="16838" w:orient="portrait"/>
          <w:cols w:equalWidth="0" w:num="1">
            <w:col w:w="11020"/>
          </w:cols>
          <w:pgMar w:left="440" w:top="274" w:right="439" w:bottom="1440" w:gutter="0" w:footer="0" w:header="0"/>
        </w:sectPr>
      </w:pPr>
    </w:p>
    <w:bookmarkStart w:id="334" w:name="page335"/>
    <w:bookmarkEnd w:id="334"/>
    <w:p>
      <w:pPr>
        <w:ind w:left="-436" w:right="100" w:firstLine="436"/>
        <w:spacing w:after="0" w:line="277" w:lineRule="auto"/>
        <w:tabs>
          <w:tab w:leader="none" w:pos="309"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a partnership, limited liability company or other entity of which the undersigned and the immediate family of the undersigned are the legal and beneficial owner of all of the outstanding equity securities or similar interests,</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(iv) above,</w:t>
      </w:r>
    </w:p>
    <w:p>
      <w:pPr>
        <w:spacing w:after="0" w:line="140" w:lineRule="exact"/>
        <w:rPr>
          <w:rFonts w:ascii="Arial" w:cs="Arial" w:eastAsia="Arial" w:hAnsi="Arial"/>
          <w:sz w:val="16"/>
          <w:szCs w:val="16"/>
          <w:color w:val="auto"/>
        </w:rPr>
      </w:pPr>
    </w:p>
    <w:p>
      <w:pPr>
        <w:ind w:left="-436" w:right="40" w:firstLine="436"/>
        <w:spacing w:after="0" w:line="255" w:lineRule="auto"/>
        <w:tabs>
          <w:tab w:leader="none" w:pos="30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spacing w:after="0" w:line="84" w:lineRule="exact"/>
        <w:rPr>
          <w:rFonts w:ascii="Arial" w:cs="Arial" w:eastAsia="Arial" w:hAnsi="Arial"/>
          <w:sz w:val="18"/>
          <w:szCs w:val="18"/>
          <w:color w:val="auto"/>
        </w:rPr>
      </w:pPr>
    </w:p>
    <w:p>
      <w:pPr>
        <w:ind w:left="364" w:hanging="364"/>
        <w:spacing w:after="0"/>
        <w:tabs>
          <w:tab w:leader="none" w:pos="36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divorce settlement, divorce decree or separation agreement,</w:t>
      </w:r>
    </w:p>
    <w:p>
      <w:pPr>
        <w:spacing w:after="0" w:line="117" w:lineRule="exact"/>
        <w:rPr>
          <w:rFonts w:ascii="Arial" w:cs="Arial" w:eastAsia="Arial" w:hAnsi="Arial"/>
          <w:sz w:val="18"/>
          <w:szCs w:val="18"/>
          <w:color w:val="auto"/>
        </w:rPr>
      </w:pPr>
    </w:p>
    <w:p>
      <w:pPr>
        <w:ind w:left="404" w:hanging="404"/>
        <w:spacing w:after="0"/>
        <w:tabs>
          <w:tab w:leader="none" w:pos="40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to the Company from an employee of the Company upon death, disability or termination of employment, in each case, of such employee,</w:t>
      </w:r>
    </w:p>
    <w:p>
      <w:pPr>
        <w:spacing w:after="0" w:line="140" w:lineRule="exact"/>
        <w:rPr>
          <w:rFonts w:ascii="Arial" w:cs="Arial" w:eastAsia="Arial" w:hAnsi="Arial"/>
          <w:sz w:val="16"/>
          <w:szCs w:val="16"/>
          <w:color w:val="auto"/>
        </w:rPr>
      </w:pPr>
    </w:p>
    <w:p>
      <w:pPr>
        <w:ind w:left="304" w:hanging="304"/>
        <w:spacing w:after="0"/>
        <w:tabs>
          <w:tab w:leader="none" w:pos="30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as part of a sale of the undersigned’s Lock-Up Securities acquired in open market transactions after the closing date for the Public Offering,</w:t>
      </w:r>
    </w:p>
    <w:p>
      <w:pPr>
        <w:spacing w:after="0" w:line="140" w:lineRule="exact"/>
        <w:rPr>
          <w:rFonts w:ascii="Arial" w:cs="Arial" w:eastAsia="Arial" w:hAnsi="Arial"/>
          <w:sz w:val="16"/>
          <w:szCs w:val="16"/>
          <w:color w:val="auto"/>
        </w:rPr>
      </w:pPr>
    </w:p>
    <w:p>
      <w:pPr>
        <w:ind w:left="-436" w:right="200" w:firstLine="436"/>
        <w:spacing w:after="0" w:line="254" w:lineRule="auto"/>
        <w:tabs>
          <w:tab w:leader="none" w:pos="25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the Company in connection with the vesting, settlement, or exercise of restricted stock units, options, warrants or other rights to purchase shares of Ordinary Shares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Ordinary Shares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86" w:lineRule="exact"/>
        <w:rPr>
          <w:rFonts w:ascii="Arial" w:cs="Arial" w:eastAsia="Arial" w:hAnsi="Arial"/>
          <w:sz w:val="18"/>
          <w:szCs w:val="18"/>
          <w:color w:val="auto"/>
        </w:rPr>
      </w:pPr>
    </w:p>
    <w:p>
      <w:pPr>
        <w:ind w:left="-436" w:firstLine="436"/>
        <w:spacing w:after="0" w:line="254" w:lineRule="auto"/>
        <w:tabs>
          <w:tab w:leader="none" w:pos="30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ectPr>
          <w:pgSz w:w="11900" w:h="16838" w:orient="portrait"/>
          <w:cols w:equalWidth="0" w:num="1">
            <w:col w:w="10564"/>
          </w:cols>
          <w:pgMar w:left="876" w:top="274" w:right="459" w:bottom="1440" w:gutter="0" w:footer="0" w:header="0"/>
        </w:sectPr>
      </w:pPr>
    </w:p>
    <w:bookmarkStart w:id="335" w:name="page336"/>
    <w:bookmarkEnd w:id="335"/>
    <w:p>
      <w:pPr>
        <w:ind w:firstLine="44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8"/>
          <w:szCs w:val="18"/>
          <w:color w:val="auto"/>
        </w:rPr>
        <w:t xml:space="preserve"> that (A) in the case of any transfer or distribution pursuant to clause (a)(i), (ii), (iii), (iv), (v), (vi) and (vii), such transfer shall not involve a disposition for value and each done, devisee, transferee or distributee shall execute and deliver to the Representatives a lock-up letter in the form of this Letter Agreement; and (B) in the case of any transfer or distribution pursuant to clause (a)(i), (ii), (iii), (iv), (v), (vi), (ix) and (x),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w:t>
      </w:r>
    </w:p>
    <w:p>
      <w:pPr>
        <w:spacing w:after="0" w:line="84" w:lineRule="exact"/>
        <w:rPr>
          <w:sz w:val="20"/>
          <w:szCs w:val="20"/>
          <w:color w:val="auto"/>
        </w:rPr>
      </w:pPr>
    </w:p>
    <w:p>
      <w:pPr>
        <w:ind w:firstLine="436"/>
        <w:spacing w:after="0" w:line="277" w:lineRule="auto"/>
        <w:tabs>
          <w:tab w:leader="none" w:pos="69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transfer of the undersigned’s Lock-Up Securities pursuant to the requirements of paragraph 3(f) of Practice Note 15 of the Rules Governing the Listing of Securities on The Stock Exchange of Hong Kong Limited;</w:t>
      </w:r>
    </w:p>
    <w:p>
      <w:pPr>
        <w:spacing w:after="0" w:line="62" w:lineRule="exact"/>
        <w:rPr>
          <w:rFonts w:ascii="Arial" w:cs="Arial" w:eastAsia="Arial" w:hAnsi="Arial"/>
          <w:sz w:val="18"/>
          <w:szCs w:val="18"/>
          <w:color w:val="auto"/>
        </w:rPr>
      </w:pPr>
    </w:p>
    <w:p>
      <w:pPr>
        <w:jc w:val="both"/>
        <w:ind w:right="220" w:firstLine="436"/>
        <w:spacing w:after="0" w:line="263" w:lineRule="auto"/>
        <w:tabs>
          <w:tab w:leader="none" w:pos="68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exercise options, settle restricted stock units or other equity awards or exercise warrants outstanding as of the date granted pursuant to plans described in the Registration Statement, the Pricing Disclosure Package and the Prospectus; provided that any such Lock-Up Securities received upon such exercise, vesting or settlement shall be subject to the terms of this Letter Agreement;</w:t>
      </w:r>
    </w:p>
    <w:p>
      <w:pPr>
        <w:spacing w:after="0" w:line="75" w:lineRule="exact"/>
        <w:rPr>
          <w:rFonts w:ascii="Arial" w:cs="Arial" w:eastAsia="Arial" w:hAnsi="Arial"/>
          <w:sz w:val="18"/>
          <w:szCs w:val="18"/>
          <w:color w:val="auto"/>
        </w:rPr>
      </w:pPr>
    </w:p>
    <w:p>
      <w:pPr>
        <w:ind w:firstLine="436"/>
        <w:spacing w:after="0" w:line="263" w:lineRule="auto"/>
        <w:tabs>
          <w:tab w:leader="none" w:pos="69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convert outstanding preferred stock, warrants to acquire preferred stock or convertible securities into Lock-Up Securities or warrants to acquire Lock-Up Securities; provided that any such Lock-Up Securities or warrants received upon such conversion shall be subject to the terms of this Letter Agreement;</w:t>
      </w:r>
    </w:p>
    <w:p>
      <w:pPr>
        <w:spacing w:after="0" w:line="75" w:lineRule="exact"/>
        <w:rPr>
          <w:rFonts w:ascii="Arial" w:cs="Arial" w:eastAsia="Arial" w:hAnsi="Arial"/>
          <w:sz w:val="18"/>
          <w:szCs w:val="18"/>
          <w:color w:val="auto"/>
        </w:rPr>
      </w:pPr>
    </w:p>
    <w:p>
      <w:pPr>
        <w:ind w:right="20" w:firstLine="436"/>
        <w:spacing w:after="0" w:line="286" w:lineRule="auto"/>
        <w:tabs>
          <w:tab w:leader="none" w:pos="68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establish trading plans pursuant to Rule 10b5-1 under the Exchange Act for the transfer of shares of Lock-Up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plans do not provide for the transfer of Lock-Up Securities during the Restricted Period and (2) no filing by any party under the Exchange Act or other public announcement shall be required or made voluntarily in connection with such trading plan; and</w:t>
      </w:r>
    </w:p>
    <w:p>
      <w:pPr>
        <w:spacing w:after="0" w:line="57" w:lineRule="exact"/>
        <w:rPr>
          <w:rFonts w:ascii="Arial" w:cs="Arial" w:eastAsia="Arial" w:hAnsi="Arial"/>
          <w:sz w:val="17"/>
          <w:szCs w:val="17"/>
          <w:color w:val="auto"/>
        </w:rPr>
      </w:pPr>
    </w:p>
    <w:p>
      <w:pPr>
        <w:ind w:left="660" w:hanging="224"/>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sell the Lock-Up Securities to be sold by the undersigned pursuant to the terms of the Underwriting Agreement.</w:t>
      </w:r>
    </w:p>
    <w:p>
      <w:pPr>
        <w:spacing w:after="0" w:line="117"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Exchange Act) beneficially owns, directly or indirectly, 50% or more of the common equity interests, or 50% or more of the voting power, in the undersigned.</w:t>
      </w:r>
    </w:p>
    <w:p>
      <w:pPr>
        <w:sectPr>
          <w:pgSz w:w="11900" w:h="16838" w:orient="portrait"/>
          <w:cols w:equalWidth="0" w:num="1">
            <w:col w:w="11000"/>
          </w:cols>
          <w:pgMar w:left="440" w:top="274" w:right="459" w:bottom="1440" w:gutter="0" w:footer="0" w:header="0"/>
        </w:sectPr>
      </w:pPr>
    </w:p>
    <w:bookmarkStart w:id="336" w:name="page337"/>
    <w:bookmarkEnd w:id="336"/>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undersigned is an officer or director of the Company, (i) the Representatives on behalf of the Underwriters agree that, at least three business days before the effective date of any release or waiver of the foregoing restrictions in connection with a transfer of Lock-Up Securities, the Representatives on behalf of the Underwriters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the Representatives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w:t>
      </w:r>
    </w:p>
    <w:p>
      <w:pPr>
        <w:spacing w:after="0" w:line="2" w:lineRule="exact"/>
        <w:rPr>
          <w:sz w:val="20"/>
          <w:szCs w:val="20"/>
          <w:color w:val="auto"/>
        </w:rPr>
      </w:pPr>
    </w:p>
    <w:p>
      <w:pPr>
        <w:ind w:left="4" w:right="220" w:hanging="4"/>
        <w:spacing w:after="0" w:line="260" w:lineRule="auto"/>
        <w:tabs>
          <w:tab w:leader="none" w:pos="25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and (b) the transferee has agreed in writing to be bound by the same terms described in this letter to the extent and for the duration that such terms remain in effect at the time of the transfer.</w:t>
      </w:r>
    </w:p>
    <w:p>
      <w:pPr>
        <w:spacing w:after="0" w:line="77"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76" w:lineRule="exact"/>
        <w:rPr>
          <w:sz w:val="20"/>
          <w:szCs w:val="20"/>
          <w:color w:val="auto"/>
        </w:rPr>
      </w:pPr>
    </w:p>
    <w:p>
      <w:pPr>
        <w:ind w:left="4" w:right="50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76" w:lineRule="exact"/>
        <w:rPr>
          <w:sz w:val="20"/>
          <w:szCs w:val="20"/>
          <w:color w:val="auto"/>
        </w:rPr>
      </w:pPr>
    </w:p>
    <w:p>
      <w:pPr>
        <w:ind w:left="4" w:right="220" w:firstLine="440"/>
        <w:spacing w:after="0" w:line="301" w:lineRule="auto"/>
        <w:rPr>
          <w:sz w:val="20"/>
          <w:szCs w:val="20"/>
          <w:color w:val="auto"/>
        </w:rPr>
      </w:pPr>
      <w:r>
        <w:rPr>
          <w:rFonts w:ascii="Arial" w:cs="Arial" w:eastAsia="Arial" w:hAnsi="Arial"/>
          <w:sz w:val="16"/>
          <w:szCs w:val="16"/>
          <w:color w:val="auto"/>
        </w:rPr>
        <w:t>The undersigned understands that, if the Underwriting Agreement does not become effective by September 30, 2020, or if the Underwriting Agreement (other than the provisions thereof which survive termination) shall terminate or be terminated prior to payment for and delivery of the securities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ectPr>
          <w:pgSz w:w="11900" w:h="16838" w:orient="portrait"/>
          <w:cols w:equalWidth="0" w:num="1">
            <w:col w:w="10984"/>
          </w:cols>
          <w:pgMar w:left="436" w:top="274" w:right="479" w:bottom="1440" w:gutter="0" w:footer="0" w:header="0"/>
        </w:sectPr>
      </w:pPr>
    </w:p>
    <w:bookmarkStart w:id="337" w:name="page338"/>
    <w:bookmarkEnd w:id="33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SHAREHOLDER]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440" w:top="274" w:right="519" w:bottom="1440" w:gutter="0" w:footer="0" w:header="0"/>
        </w:sectPr>
      </w:pPr>
    </w:p>
    <w:bookmarkStart w:id="338" w:name="page339"/>
    <w:bookmarkEnd w:id="3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right="260" w:firstLine="440"/>
        <w:spacing w:after="0" w:line="293" w:lineRule="auto"/>
        <w:rPr>
          <w:sz w:val="20"/>
          <w:szCs w:val="20"/>
          <w:color w:val="auto"/>
        </w:rPr>
      </w:pPr>
      <w:r>
        <w:rPr>
          <w:rFonts w:ascii="Arial" w:cs="Arial" w:eastAsia="Arial" w:hAnsi="Arial"/>
          <w:sz w:val="16"/>
          <w:szCs w:val="16"/>
          <w:color w:val="auto"/>
        </w:rPr>
        <w:t>This letter is being delivered to you in connection with the offering by Kingsoft Cloud Holdings Limited (the “</w:t>
      </w:r>
      <w:r>
        <w:rPr>
          <w:rFonts w:ascii="Arial" w:cs="Arial" w:eastAsia="Arial" w:hAnsi="Arial"/>
          <w:sz w:val="16"/>
          <w:szCs w:val="16"/>
          <w:b w:val="1"/>
          <w:bCs w:val="1"/>
          <w:color w:val="auto"/>
        </w:rPr>
        <w:t>Company</w:t>
      </w:r>
      <w:r>
        <w:rPr>
          <w:rFonts w:ascii="Arial" w:cs="Arial" w:eastAsia="Arial" w:hAnsi="Arial"/>
          <w:sz w:val="16"/>
          <w:szCs w:val="16"/>
          <w:color w:val="auto"/>
        </w:rPr>
        <w:t>”) of [●]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each ADS representing [●] ordinary share[s], par value US$0.001 per share, of the Company (the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bl>
      <w:tblPr>
        <w:tblLayout w:type="fixed"/>
        <w:tblInd w:w="0" w:type="dxa"/>
        <w:tblCellMar>
          <w:top w:w="0" w:type="dxa"/>
          <w:left w:w="0" w:type="dxa"/>
          <w:bottom w:w="0" w:type="dxa"/>
          <w:right w:w="0" w:type="dxa"/>
        </w:tblCellMar>
      </w:tblPr>
      <w:tr>
        <w:trPr>
          <w:trHeight w:val="177"/>
        </w:trPr>
        <w:tc>
          <w:tcPr>
            <w:tcW w:w="2000" w:type="dxa"/>
            <w:vAlign w:val="bottom"/>
            <w:gridSpan w:val="2"/>
          </w:tcPr>
          <w:p>
            <w:pPr>
              <w:spacing w:after="0" w:line="176" w:lineRule="exact"/>
              <w:rPr>
                <w:sz w:val="20"/>
                <w:szCs w:val="20"/>
                <w:color w:val="auto"/>
              </w:rPr>
            </w:pPr>
            <w:r>
              <w:rPr>
                <w:rFonts w:ascii="Arial" w:cs="Arial" w:eastAsia="Arial" w:hAnsi="Arial"/>
                <w:sz w:val="18"/>
                <w:szCs w:val="18"/>
                <w:color w:val="auto"/>
                <w:w w:val="90"/>
              </w:rPr>
              <w:t>and the lock-up letter dated</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540" w:type="dxa"/>
            <w:vAlign w:val="bottom"/>
          </w:tcPr>
          <w:p>
            <w:pPr>
              <w:spacing w:after="0" w:line="176" w:lineRule="exact"/>
              <w:rPr>
                <w:sz w:val="20"/>
                <w:szCs w:val="20"/>
                <w:color w:val="auto"/>
              </w:rPr>
            </w:pPr>
            <w:r>
              <w:rPr>
                <w:rFonts w:ascii="Arial" w:cs="Arial" w:eastAsia="Arial" w:hAnsi="Arial"/>
                <w:sz w:val="18"/>
                <w:szCs w:val="18"/>
                <w:color w:val="auto"/>
                <w:w w:val="91"/>
              </w:rPr>
              <w:t>, 2020 (the “</w:t>
            </w:r>
            <w:r>
              <w:rPr>
                <w:rFonts w:ascii="Arial" w:cs="Arial" w:eastAsia="Arial" w:hAnsi="Arial"/>
                <w:sz w:val="18"/>
                <w:szCs w:val="18"/>
                <w:b w:val="1"/>
                <w:bCs w:val="1"/>
                <w:color w:val="auto"/>
                <w:w w:val="91"/>
              </w:rPr>
              <w:t>Lock-up Letter</w:t>
            </w:r>
            <w:r>
              <w:rPr>
                <w:rFonts w:ascii="Arial" w:cs="Arial" w:eastAsia="Arial" w:hAnsi="Arial"/>
                <w:sz w:val="18"/>
                <w:szCs w:val="18"/>
                <w:color w:val="auto"/>
                <w:w w:val="91"/>
              </w:rPr>
              <w:t>”), executed by you in connection with such offering, and your request for a</w:t>
            </w:r>
          </w:p>
        </w:tc>
      </w:tr>
      <w:tr>
        <w:trPr>
          <w:trHeight w:val="196"/>
        </w:trPr>
        <w:tc>
          <w:tcPr>
            <w:tcW w:w="1740" w:type="dxa"/>
            <w:vAlign w:val="bottom"/>
          </w:tcPr>
          <w:p>
            <w:pPr>
              <w:spacing w:after="0" w:line="196" w:lineRule="exact"/>
              <w:rPr>
                <w:sz w:val="20"/>
                <w:szCs w:val="20"/>
                <w:color w:val="auto"/>
              </w:rPr>
            </w:pPr>
            <w:r>
              <w:rPr>
                <w:rFonts w:ascii="Arial" w:cs="Arial" w:eastAsia="Arial" w:hAnsi="Arial"/>
                <w:sz w:val="18"/>
                <w:szCs w:val="18"/>
                <w:color w:val="auto"/>
                <w:w w:val="92"/>
              </w:rPr>
              <w:t>[waiver] [release] dated</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0" w:type="dxa"/>
            <w:vAlign w:val="bottom"/>
            <w:gridSpan w:val="2"/>
          </w:tcPr>
          <w:p>
            <w:pPr>
              <w:spacing w:after="0" w:line="196" w:lineRule="exact"/>
              <w:rPr>
                <w:sz w:val="20"/>
                <w:szCs w:val="20"/>
                <w:color w:val="auto"/>
              </w:rPr>
            </w:pPr>
            <w:r>
              <w:rPr>
                <w:rFonts w:ascii="Arial" w:cs="Arial" w:eastAsia="Arial" w:hAnsi="Arial"/>
                <w:sz w:val="18"/>
                <w:szCs w:val="18"/>
                <w:color w:val="auto"/>
              </w:rPr>
              <w:t>, 20[●], with respect to [●]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undersigned hereby agree to [waive] [release] the transfer restrictions set forth in the Lock-up Letter, but only with respect to the Shares,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effective , 20[●];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-306705</wp:posOffset>
            </wp:positionV>
            <wp:extent cx="5715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Acting severally on behalf of themselves and the several</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named in Schedule 1 hereto</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ectPr>
          <w:pgSz w:w="11900" w:h="16838" w:orient="portrait"/>
          <w:cols w:equalWidth="0" w:num="1">
            <w:col w:w="11020"/>
          </w:cols>
          <w:pgMar w:left="440" w:top="270" w:right="439" w:bottom="1440" w:gutter="0" w:footer="0" w:header="0"/>
        </w:sectPr>
      </w:pPr>
    </w:p>
    <w:bookmarkStart w:id="339" w:name="page340"/>
    <w:bookmarkEnd w:id="33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Kingsoft Cloud Holdings Limited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J.P. Morgan Securities LLC, UBS Securities LLC and Credit Suisse Securities (USA) LLC, the representatives of the joint book-running managers in the Company’s recent public sale of [●] ordinary shares in the form of [●] American Depositary Shares is [waiving][releasing] a lock-up restriction with respect to [●] ordinary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 held by</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[certain officers or directors] [an officer or director] of the Company. The [waiver][release] will take effect on , 20[●], and the Shares may be sold on or after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-172720</wp:posOffset>
            </wp:positionV>
            <wp:extent cx="571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3"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920"/>
          </w:cols>
          <w:pgMar w:left="440" w:top="270" w:right="5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SUBSIDIARIES</w:t>
      </w:r>
    </w:p>
    <w:p>
      <w:pPr>
        <w:sectPr>
          <w:pgSz w:w="11900" w:h="16838" w:orient="portrait"/>
          <w:cols w:equalWidth="0" w:num="1">
            <w:col w:w="9019"/>
          </w:cols>
          <w:pgMar w:left="1440" w:top="270" w:right="1440" w:bottom="1440" w:gutter="0" w:footer="0" w:header="0"/>
        </w:sectPr>
      </w:pPr>
    </w:p>
    <w:bookmarkStart w:id="341" w:name="page342"/>
    <w:bookmarkEnd w:id="3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VIES</w:t>
      </w:r>
    </w:p>
    <w:p>
      <w:pPr>
        <w:sectPr>
          <w:pgSz w:w="11900" w:h="16838" w:orient="portrait"/>
          <w:cols w:equalWidth="0" w:num="1">
            <w:col w:w="9019"/>
          </w:cols>
          <w:pgMar w:left="1440" w:top="270" w:right="1440"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Pricing Disclosure Package</w:t>
      </w:r>
    </w:p>
    <w:p>
      <w:pPr>
        <w:sectPr>
          <w:pgSz w:w="11900" w:h="16838" w:orient="portrait"/>
          <w:cols w:equalWidth="0" w:num="1">
            <w:col w:w="9019"/>
          </w:cols>
          <w:pgMar w:left="1440" w:top="270" w:right="1440"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Written Testing-the-Waters Communications</w:t>
      </w:r>
    </w:p>
    <w:p>
      <w:pPr>
        <w:sectPr>
          <w:pgSz w:w="11900" w:h="16838" w:orient="portrait"/>
          <w:cols w:equalWidth="0" w:num="1">
            <w:col w:w="9019"/>
          </w:cols>
          <w:pgMar w:left="1440" w:top="270" w:right="1440"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Kingsoft Cloud Holdings Limited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Pricing Term Sheet</w:t>
      </w:r>
    </w:p>
    <w:p>
      <w:pPr>
        <w:sectPr>
          <w:pgSz w:w="11900" w:h="16838" w:orient="portrait"/>
          <w:cols w:equalWidth="0" w:num="1">
            <w:col w:w="9019"/>
          </w:cols>
          <w:pgMar w:left="1440" w:top="270" w:right="1440"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OWNERS AND HOLDERS OF AMERICAN DEPOSITARY SHARES</w:t>
      </w:r>
    </w:p>
    <w:p>
      <w:pPr>
        <w:spacing w:after="0" w:line="237" w:lineRule="exact"/>
        <w:rPr>
          <w:sz w:val="20"/>
          <w:szCs w:val="20"/>
          <w:color w:val="auto"/>
        </w:rPr>
      </w:pPr>
    </w:p>
    <w:p>
      <w:pPr>
        <w:jc w:val="right"/>
        <w:ind w:right="4820"/>
        <w:spacing w:after="0"/>
        <w:rPr>
          <w:sz w:val="20"/>
          <w:szCs w:val="20"/>
          <w:color w:val="auto"/>
        </w:rPr>
      </w:pPr>
      <w:r>
        <w:rPr>
          <w:rFonts w:ascii="Arial" w:cs="Arial" w:eastAsia="Arial" w:hAnsi="Arial"/>
          <w:sz w:val="18"/>
          <w:szCs w:val="18"/>
          <w:color w:val="auto"/>
        </w:rPr>
        <w:t>Deposit Agreement</w:t>
      </w:r>
    </w:p>
    <w:p>
      <w:pPr>
        <w:spacing w:after="0" w:line="225" w:lineRule="exact"/>
        <w:rPr>
          <w:sz w:val="20"/>
          <w:szCs w:val="20"/>
          <w:color w:val="auto"/>
        </w:rPr>
      </w:pPr>
    </w:p>
    <w:p>
      <w:pPr>
        <w:jc w:val="right"/>
        <w:ind w:right="484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8800" w:type="dxa"/>
            <w:vAlign w:val="bottom"/>
          </w:tcPr>
          <w:p>
            <w:pPr>
              <w:ind w:left="2920"/>
              <w:spacing w:after="0"/>
              <w:rPr>
                <w:sz w:val="20"/>
                <w:szCs w:val="20"/>
                <w:color w:val="auto"/>
              </w:rPr>
            </w:pPr>
            <w:r>
              <w:rPr>
                <w:rFonts w:ascii="Arial" w:cs="Arial" w:eastAsia="Arial" w:hAnsi="Arial"/>
                <w:sz w:val="18"/>
                <w:szCs w:val="18"/>
                <w:color w:val="auto"/>
              </w:rPr>
              <w:t>TABLE OF CONTENTS</w:t>
            </w:r>
          </w:p>
        </w:tc>
        <w:tc>
          <w:tcPr>
            <w:tcW w:w="480" w:type="dxa"/>
            <w:vAlign w:val="bottom"/>
          </w:tcPr>
          <w:p>
            <w:pPr>
              <w:spacing w:after="0"/>
              <w:rPr>
                <w:sz w:val="20"/>
                <w:szCs w:val="20"/>
                <w:color w:val="auto"/>
              </w:rPr>
            </w:pPr>
          </w:p>
        </w:tc>
      </w:tr>
      <w:tr>
        <w:trPr>
          <w:trHeight w:val="445"/>
        </w:trPr>
        <w:tc>
          <w:tcPr>
            <w:tcW w:w="1680" w:type="dxa"/>
            <w:vAlign w:val="bottom"/>
          </w:tcPr>
          <w:p>
            <w:pPr>
              <w:spacing w:after="0"/>
              <w:rPr>
                <w:sz w:val="20"/>
                <w:szCs w:val="20"/>
                <w:color w:val="auto"/>
              </w:rPr>
            </w:pPr>
            <w:r>
              <w:rPr>
                <w:rFonts w:ascii="Arial" w:cs="Arial" w:eastAsia="Arial" w:hAnsi="Arial"/>
                <w:sz w:val="18"/>
                <w:szCs w:val="18"/>
                <w:color w:val="auto"/>
              </w:rPr>
              <w:t>ARTICLE 1.</w:t>
            </w:r>
          </w:p>
        </w:tc>
        <w:tc>
          <w:tcPr>
            <w:tcW w:w="88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800" w:type="dxa"/>
            <w:vAlign w:val="bottom"/>
          </w:tcPr>
          <w:p>
            <w:pPr>
              <w:ind w:left="520"/>
              <w:spacing w:after="0"/>
              <w:rPr>
                <w:sz w:val="20"/>
                <w:szCs w:val="20"/>
                <w:color w:val="auto"/>
              </w:rPr>
            </w:pPr>
            <w:r>
              <w:rPr>
                <w:rFonts w:ascii="Arial" w:cs="Arial" w:eastAsia="Arial" w:hAnsi="Arial"/>
                <w:sz w:val="18"/>
                <w:szCs w:val="18"/>
                <w:color w:val="auto"/>
              </w:rPr>
              <w:t>American Depositary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800" w:type="dxa"/>
            <w:vAlign w:val="bottom"/>
          </w:tcPr>
          <w:p>
            <w:pPr>
              <w:ind w:left="520"/>
              <w:spacing w:after="0"/>
              <w:rPr>
                <w:sz w:val="20"/>
                <w:szCs w:val="20"/>
                <w:color w:val="auto"/>
              </w:rPr>
            </w:pPr>
            <w:r>
              <w:rPr>
                <w:rFonts w:ascii="Arial" w:cs="Arial" w:eastAsia="Arial" w:hAnsi="Arial"/>
                <w:sz w:val="18"/>
                <w:szCs w:val="18"/>
                <w:color w:val="auto"/>
              </w:rPr>
              <w:t>Commission.</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8800" w:type="dxa"/>
            <w:vAlign w:val="bottom"/>
          </w:tcPr>
          <w:p>
            <w:pPr>
              <w:ind w:left="520"/>
              <w:spacing w:after="0"/>
              <w:rPr>
                <w:sz w:val="20"/>
                <w:szCs w:val="20"/>
                <w:color w:val="auto"/>
              </w:rPr>
            </w:pPr>
            <w:r>
              <w:rPr>
                <w:rFonts w:ascii="Arial" w:cs="Arial" w:eastAsia="Arial" w:hAnsi="Arial"/>
                <w:sz w:val="18"/>
                <w:szCs w:val="18"/>
                <w:color w:val="auto"/>
              </w:rPr>
              <w:t>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8800" w:type="dxa"/>
            <w:vAlign w:val="bottom"/>
          </w:tcPr>
          <w:p>
            <w:pPr>
              <w:ind w:left="520"/>
              <w:spacing w:after="0"/>
              <w:rPr>
                <w:sz w:val="20"/>
                <w:szCs w:val="20"/>
                <w:color w:val="auto"/>
              </w:rPr>
            </w:pPr>
            <w:r>
              <w:rPr>
                <w:rFonts w:ascii="Arial" w:cs="Arial" w:eastAsia="Arial" w:hAnsi="Arial"/>
                <w:sz w:val="18"/>
                <w:szCs w:val="18"/>
                <w:color w:val="auto"/>
              </w:rPr>
              <w:t>Custodian.</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8800" w:type="dxa"/>
            <w:vAlign w:val="bottom"/>
          </w:tcPr>
          <w:p>
            <w:pPr>
              <w:ind w:left="520"/>
              <w:spacing w:after="0"/>
              <w:rPr>
                <w:sz w:val="20"/>
                <w:szCs w:val="20"/>
                <w:color w:val="auto"/>
              </w:rPr>
            </w:pPr>
            <w:r>
              <w:rPr>
                <w:rFonts w:ascii="Arial" w:cs="Arial" w:eastAsia="Arial" w:hAnsi="Arial"/>
                <w:sz w:val="18"/>
                <w:szCs w:val="18"/>
                <w:color w:val="auto"/>
              </w:rPr>
              <w:t>Deliver; Surrender.</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8800" w:type="dxa"/>
            <w:vAlign w:val="bottom"/>
          </w:tcPr>
          <w:p>
            <w:pPr>
              <w:ind w:left="520"/>
              <w:spacing w:after="0"/>
              <w:rPr>
                <w:sz w:val="20"/>
                <w:szCs w:val="20"/>
                <w:color w:val="auto"/>
              </w:rPr>
            </w:pPr>
            <w:r>
              <w:rPr>
                <w:rFonts w:ascii="Arial" w:cs="Arial" w:eastAsia="Arial" w:hAnsi="Arial"/>
                <w:sz w:val="18"/>
                <w:szCs w:val="18"/>
                <w:color w:val="auto"/>
              </w:rPr>
              <w:t>Deposit Agreement.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8800" w:type="dxa"/>
            <w:vAlign w:val="bottom"/>
          </w:tcPr>
          <w:p>
            <w:pPr>
              <w:ind w:left="520"/>
              <w:spacing w:after="0"/>
              <w:rPr>
                <w:sz w:val="20"/>
                <w:szCs w:val="20"/>
                <w:color w:val="auto"/>
              </w:rPr>
            </w:pPr>
            <w:r>
              <w:rPr>
                <w:rFonts w:ascii="Arial" w:cs="Arial" w:eastAsia="Arial" w:hAnsi="Arial"/>
                <w:sz w:val="18"/>
                <w:szCs w:val="18"/>
                <w:color w:val="auto"/>
              </w:rPr>
              <w:t>Depositary; Depositary’s Office.</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8800" w:type="dxa"/>
            <w:vAlign w:val="bottom"/>
          </w:tcPr>
          <w:p>
            <w:pPr>
              <w:ind w:left="520"/>
              <w:spacing w:after="0"/>
              <w:rPr>
                <w:sz w:val="20"/>
                <w:szCs w:val="20"/>
                <w:color w:val="auto"/>
              </w:rPr>
            </w:pPr>
            <w:r>
              <w:rPr>
                <w:rFonts w:ascii="Arial" w:cs="Arial" w:eastAsia="Arial" w:hAnsi="Arial"/>
                <w:sz w:val="18"/>
                <w:szCs w:val="18"/>
                <w:color w:val="auto"/>
              </w:rPr>
              <w:t>Deposited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8800" w:type="dxa"/>
            <w:vAlign w:val="bottom"/>
          </w:tcPr>
          <w:p>
            <w:pPr>
              <w:ind w:left="520"/>
              <w:spacing w:after="0"/>
              <w:rPr>
                <w:sz w:val="20"/>
                <w:szCs w:val="20"/>
                <w:color w:val="auto"/>
              </w:rPr>
            </w:pPr>
            <w:r>
              <w:rPr>
                <w:rFonts w:ascii="Arial" w:cs="Arial" w:eastAsia="Arial" w:hAnsi="Arial"/>
                <w:sz w:val="18"/>
                <w:szCs w:val="18"/>
                <w:color w:val="auto"/>
              </w:rPr>
              <w:t>Disseminate.</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8800" w:type="dxa"/>
            <w:vAlign w:val="bottom"/>
          </w:tcPr>
          <w:p>
            <w:pPr>
              <w:ind w:left="520"/>
              <w:spacing w:after="0"/>
              <w:rPr>
                <w:sz w:val="20"/>
                <w:szCs w:val="20"/>
                <w:color w:val="auto"/>
              </w:rPr>
            </w:pPr>
            <w:r>
              <w:rPr>
                <w:rFonts w:ascii="Arial" w:cs="Arial" w:eastAsia="Arial" w:hAnsi="Arial"/>
                <w:sz w:val="18"/>
                <w:szCs w:val="18"/>
                <w:color w:val="auto"/>
              </w:rPr>
              <w:t>Dollars.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800" w:type="dxa"/>
            <w:vAlign w:val="bottom"/>
          </w:tcPr>
          <w:p>
            <w:pPr>
              <w:ind w:left="520"/>
              <w:spacing w:after="0"/>
              <w:rPr>
                <w:sz w:val="20"/>
                <w:szCs w:val="20"/>
                <w:color w:val="auto"/>
              </w:rPr>
            </w:pPr>
            <w:r>
              <w:rPr>
                <w:rFonts w:ascii="Arial" w:cs="Arial" w:eastAsia="Arial" w:hAnsi="Arial"/>
                <w:sz w:val="18"/>
                <w:szCs w:val="18"/>
                <w:color w:val="auto"/>
              </w:rPr>
              <w:t>DTC.</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800" w:type="dxa"/>
            <w:vAlign w:val="bottom"/>
          </w:tcPr>
          <w:p>
            <w:pPr>
              <w:ind w:left="520"/>
              <w:spacing w:after="0"/>
              <w:rPr>
                <w:sz w:val="20"/>
                <w:szCs w:val="20"/>
                <w:color w:val="auto"/>
              </w:rPr>
            </w:pPr>
            <w:r>
              <w:rPr>
                <w:rFonts w:ascii="Arial" w:cs="Arial" w:eastAsia="Arial" w:hAnsi="Arial"/>
                <w:sz w:val="18"/>
                <w:szCs w:val="18"/>
                <w:color w:val="auto"/>
              </w:rPr>
              <w:t>Foreign Registrar.</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8800" w:type="dxa"/>
            <w:vAlign w:val="bottom"/>
          </w:tcPr>
          <w:p>
            <w:pPr>
              <w:ind w:left="520"/>
              <w:spacing w:after="0"/>
              <w:rPr>
                <w:sz w:val="20"/>
                <w:szCs w:val="20"/>
                <w:color w:val="auto"/>
              </w:rPr>
            </w:pPr>
            <w:r>
              <w:rPr>
                <w:rFonts w:ascii="Arial" w:cs="Arial" w:eastAsia="Arial" w:hAnsi="Arial"/>
                <w:sz w:val="18"/>
                <w:szCs w:val="18"/>
                <w:color w:val="auto"/>
              </w:rPr>
              <w:t>Holder.</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8800" w:type="dxa"/>
            <w:vAlign w:val="bottom"/>
          </w:tcPr>
          <w:p>
            <w:pPr>
              <w:ind w:left="520"/>
              <w:spacing w:after="0"/>
              <w:rPr>
                <w:sz w:val="20"/>
                <w:szCs w:val="20"/>
                <w:color w:val="auto"/>
              </w:rPr>
            </w:pPr>
            <w:r>
              <w:rPr>
                <w:rFonts w:ascii="Arial" w:cs="Arial" w:eastAsia="Arial" w:hAnsi="Arial"/>
                <w:sz w:val="18"/>
                <w:szCs w:val="18"/>
                <w:color w:val="auto"/>
              </w:rPr>
              <w:t>Owner.</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8800" w:type="dxa"/>
            <w:vAlign w:val="bottom"/>
          </w:tcPr>
          <w:p>
            <w:pPr>
              <w:ind w:left="520"/>
              <w:spacing w:after="0"/>
              <w:rPr>
                <w:sz w:val="20"/>
                <w:szCs w:val="20"/>
                <w:color w:val="auto"/>
              </w:rPr>
            </w:pPr>
            <w:r>
              <w:rPr>
                <w:rFonts w:ascii="Arial" w:cs="Arial" w:eastAsia="Arial" w:hAnsi="Arial"/>
                <w:sz w:val="18"/>
                <w:szCs w:val="18"/>
                <w:color w:val="auto"/>
              </w:rPr>
              <w:t>Receipts.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8800" w:type="dxa"/>
            <w:vAlign w:val="bottom"/>
          </w:tcPr>
          <w:p>
            <w:pPr>
              <w:ind w:left="520"/>
              <w:spacing w:after="0"/>
              <w:rPr>
                <w:sz w:val="20"/>
                <w:szCs w:val="20"/>
                <w:color w:val="auto"/>
              </w:rPr>
            </w:pPr>
            <w:r>
              <w:rPr>
                <w:rFonts w:ascii="Arial" w:cs="Arial" w:eastAsia="Arial" w:hAnsi="Arial"/>
                <w:sz w:val="18"/>
                <w:szCs w:val="18"/>
                <w:color w:val="auto"/>
              </w:rPr>
              <w:t>Registrar.</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8800" w:type="dxa"/>
            <w:vAlign w:val="bottom"/>
          </w:tcPr>
          <w:p>
            <w:pPr>
              <w:ind w:left="520"/>
              <w:spacing w:after="0"/>
              <w:rPr>
                <w:sz w:val="20"/>
                <w:szCs w:val="20"/>
                <w:color w:val="auto"/>
              </w:rPr>
            </w:pPr>
            <w:r>
              <w:rPr>
                <w:rFonts w:ascii="Arial" w:cs="Arial" w:eastAsia="Arial" w:hAnsi="Arial"/>
                <w:sz w:val="18"/>
                <w:szCs w:val="18"/>
                <w:color w:val="auto"/>
              </w:rPr>
              <w:t>Replacement.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8800" w:type="dxa"/>
            <w:vAlign w:val="bottom"/>
          </w:tcPr>
          <w:p>
            <w:pPr>
              <w:ind w:left="520"/>
              <w:spacing w:after="0"/>
              <w:rPr>
                <w:sz w:val="20"/>
                <w:szCs w:val="20"/>
                <w:color w:val="auto"/>
              </w:rPr>
            </w:pPr>
            <w:r>
              <w:rPr>
                <w:rFonts w:ascii="Arial" w:cs="Arial" w:eastAsia="Arial" w:hAnsi="Arial"/>
                <w:sz w:val="18"/>
                <w:szCs w:val="18"/>
                <w:color w:val="auto"/>
              </w:rPr>
              <w:t>Restricted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8800" w:type="dxa"/>
            <w:vAlign w:val="bottom"/>
          </w:tcPr>
          <w:p>
            <w:pPr>
              <w:ind w:left="520"/>
              <w:spacing w:after="0"/>
              <w:rPr>
                <w:sz w:val="20"/>
                <w:szCs w:val="20"/>
                <w:color w:val="auto"/>
              </w:rPr>
            </w:pPr>
            <w:r>
              <w:rPr>
                <w:rFonts w:ascii="Arial" w:cs="Arial" w:eastAsia="Arial" w:hAnsi="Arial"/>
                <w:sz w:val="18"/>
                <w:szCs w:val="18"/>
                <w:color w:val="auto"/>
              </w:rPr>
              <w:t>Securities Act of 1933.</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1.20.</w:t>
            </w:r>
          </w:p>
        </w:tc>
        <w:tc>
          <w:tcPr>
            <w:tcW w:w="8800" w:type="dxa"/>
            <w:vAlign w:val="bottom"/>
          </w:tcPr>
          <w:p>
            <w:pPr>
              <w:ind w:left="520"/>
              <w:spacing w:after="0"/>
              <w:rPr>
                <w:sz w:val="20"/>
                <w:szCs w:val="20"/>
                <w:color w:val="auto"/>
              </w:rPr>
            </w:pPr>
            <w:r>
              <w:rPr>
                <w:rFonts w:ascii="Arial" w:cs="Arial" w:eastAsia="Arial" w:hAnsi="Arial"/>
                <w:sz w:val="18"/>
                <w:szCs w:val="18"/>
                <w:color w:val="auto"/>
              </w:rPr>
              <w:t>Shares.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8800" w:type="dxa"/>
            <w:vAlign w:val="bottom"/>
          </w:tcPr>
          <w:p>
            <w:pPr>
              <w:ind w:left="520"/>
              <w:spacing w:after="0"/>
              <w:rPr>
                <w:sz w:val="20"/>
                <w:szCs w:val="20"/>
                <w:color w:val="auto"/>
              </w:rPr>
            </w:pPr>
            <w:r>
              <w:rPr>
                <w:rFonts w:ascii="Arial" w:cs="Arial" w:eastAsia="Arial" w:hAnsi="Arial"/>
                <w:sz w:val="18"/>
                <w:szCs w:val="18"/>
                <w:color w:val="auto"/>
              </w:rPr>
              <w:t>SWIFT.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8800" w:type="dxa"/>
            <w:vAlign w:val="bottom"/>
          </w:tcPr>
          <w:p>
            <w:pPr>
              <w:ind w:left="520"/>
              <w:spacing w:after="0"/>
              <w:rPr>
                <w:sz w:val="20"/>
                <w:szCs w:val="20"/>
                <w:color w:val="auto"/>
              </w:rPr>
            </w:pPr>
            <w:r>
              <w:rPr>
                <w:rFonts w:ascii="Arial" w:cs="Arial" w:eastAsia="Arial" w:hAnsi="Arial"/>
                <w:sz w:val="18"/>
                <w:szCs w:val="18"/>
                <w:color w:val="auto"/>
              </w:rPr>
              <w:t>Termination Option Event.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ARTICLE 2.</w:t>
            </w:r>
          </w:p>
        </w:tc>
        <w:tc>
          <w:tcPr>
            <w:tcW w:w="8800" w:type="dxa"/>
            <w:vAlign w:val="bottom"/>
          </w:tcPr>
          <w:p>
            <w:pPr>
              <w:ind w:left="160"/>
              <w:spacing w:after="0"/>
              <w:rPr>
                <w:sz w:val="20"/>
                <w:szCs w:val="20"/>
                <w:color w:val="auto"/>
              </w:rPr>
            </w:pPr>
            <w:r>
              <w:rPr>
                <w:rFonts w:ascii="Arial" w:cs="Arial" w:eastAsia="Arial" w:hAnsi="Arial"/>
                <w:sz w:val="18"/>
                <w:szCs w:val="18"/>
                <w:color w:val="auto"/>
                <w:w w:val="98"/>
              </w:rPr>
              <w:t>FORM OF RECEIPTS, DEPOSIT OF SHARES, DELIVERY, TRANSFER AND SURRENDER OF AMERICAN</w:t>
            </w:r>
          </w:p>
        </w:tc>
        <w:tc>
          <w:tcPr>
            <w:tcW w:w="48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DEPOSITARY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800" w:type="dxa"/>
            <w:vAlign w:val="bottom"/>
          </w:tcPr>
          <w:p>
            <w:pPr>
              <w:ind w:left="520"/>
              <w:spacing w:after="0"/>
              <w:rPr>
                <w:sz w:val="20"/>
                <w:szCs w:val="20"/>
                <w:color w:val="auto"/>
              </w:rPr>
            </w:pPr>
            <w:r>
              <w:rPr>
                <w:rFonts w:ascii="Arial" w:cs="Arial" w:eastAsia="Arial" w:hAnsi="Arial"/>
                <w:sz w:val="18"/>
                <w:szCs w:val="18"/>
                <w:color w:val="auto"/>
              </w:rPr>
              <w:t>Form of Receipts; Registration and Transferability of American Depositary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800" w:type="dxa"/>
            <w:vAlign w:val="bottom"/>
          </w:tcPr>
          <w:p>
            <w:pPr>
              <w:ind w:left="520"/>
              <w:spacing w:after="0"/>
              <w:rPr>
                <w:sz w:val="20"/>
                <w:szCs w:val="20"/>
                <w:color w:val="auto"/>
              </w:rPr>
            </w:pPr>
            <w:r>
              <w:rPr>
                <w:rFonts w:ascii="Arial" w:cs="Arial" w:eastAsia="Arial" w:hAnsi="Arial"/>
                <w:sz w:val="18"/>
                <w:szCs w:val="18"/>
                <w:color w:val="auto"/>
              </w:rPr>
              <w:t>Deposit of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800" w:type="dxa"/>
            <w:vAlign w:val="bottom"/>
          </w:tcPr>
          <w:p>
            <w:pPr>
              <w:ind w:left="520"/>
              <w:spacing w:after="0"/>
              <w:rPr>
                <w:sz w:val="20"/>
                <w:szCs w:val="20"/>
                <w:color w:val="auto"/>
              </w:rPr>
            </w:pPr>
            <w:r>
              <w:rPr>
                <w:rFonts w:ascii="Arial" w:cs="Arial" w:eastAsia="Arial" w:hAnsi="Arial"/>
                <w:sz w:val="18"/>
                <w:szCs w:val="18"/>
                <w:color w:val="auto"/>
              </w:rPr>
              <w:t>Delivery of American Depositary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800" w:type="dxa"/>
            <w:vAlign w:val="bottom"/>
          </w:tcPr>
          <w:p>
            <w:pPr>
              <w:ind w:left="520"/>
              <w:spacing w:after="0"/>
              <w:rPr>
                <w:sz w:val="20"/>
                <w:szCs w:val="20"/>
                <w:color w:val="auto"/>
              </w:rPr>
            </w:pPr>
            <w:r>
              <w:rPr>
                <w:rFonts w:ascii="Arial" w:cs="Arial" w:eastAsia="Arial" w:hAnsi="Arial"/>
                <w:sz w:val="18"/>
                <w:szCs w:val="18"/>
                <w:color w:val="auto"/>
                <w:w w:val="94"/>
              </w:rPr>
              <w:t>Registration of Transfer of American Depositary Shares; Combination and Split-up of Receipts; Interchange of</w:t>
            </w:r>
          </w:p>
        </w:tc>
        <w:tc>
          <w:tcPr>
            <w:tcW w:w="48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Certificated and Uncertificated American Depositary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800" w:type="dxa"/>
            <w:vAlign w:val="bottom"/>
          </w:tcPr>
          <w:p>
            <w:pPr>
              <w:ind w:left="520"/>
              <w:spacing w:after="0"/>
              <w:rPr>
                <w:sz w:val="20"/>
                <w:szCs w:val="20"/>
                <w:color w:val="auto"/>
              </w:rPr>
            </w:pPr>
            <w:r>
              <w:rPr>
                <w:rFonts w:ascii="Arial" w:cs="Arial" w:eastAsia="Arial" w:hAnsi="Arial"/>
                <w:sz w:val="18"/>
                <w:szCs w:val="18"/>
                <w:color w:val="auto"/>
              </w:rPr>
              <w:t>Surrender of American Depositary Shares and Withdrawal of Deposited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800" w:type="dxa"/>
            <w:vAlign w:val="bottom"/>
          </w:tcPr>
          <w:p>
            <w:pPr>
              <w:ind w:left="520"/>
              <w:spacing w:after="0"/>
              <w:rPr>
                <w:sz w:val="20"/>
                <w:szCs w:val="20"/>
                <w:color w:val="auto"/>
              </w:rPr>
            </w:pPr>
            <w:r>
              <w:rPr>
                <w:rFonts w:ascii="Arial" w:cs="Arial" w:eastAsia="Arial" w:hAnsi="Arial"/>
                <w:sz w:val="18"/>
                <w:szCs w:val="18"/>
                <w:color w:val="auto"/>
              </w:rPr>
              <w:t>Limitations on Delivery, Registration of Transfer and Surrender of American Depositary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800" w:type="dxa"/>
            <w:vAlign w:val="bottom"/>
          </w:tcPr>
          <w:p>
            <w:pPr>
              <w:ind w:left="520"/>
              <w:spacing w:after="0"/>
              <w:rPr>
                <w:sz w:val="20"/>
                <w:szCs w:val="20"/>
                <w:color w:val="auto"/>
              </w:rPr>
            </w:pPr>
            <w:r>
              <w:rPr>
                <w:rFonts w:ascii="Arial" w:cs="Arial" w:eastAsia="Arial" w:hAnsi="Arial"/>
                <w:sz w:val="18"/>
                <w:szCs w:val="18"/>
                <w:color w:val="auto"/>
              </w:rPr>
              <w:t>Lost Receipts, etc.</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8400" w:type="dxa"/>
            <w:vAlign w:val="bottom"/>
          </w:tcPr>
          <w:p>
            <w:pPr>
              <w:ind w:left="520"/>
              <w:spacing w:after="0"/>
              <w:rPr>
                <w:sz w:val="20"/>
                <w:szCs w:val="20"/>
                <w:color w:val="auto"/>
              </w:rPr>
            </w:pPr>
            <w:r>
              <w:rPr>
                <w:rFonts w:ascii="Arial" w:cs="Arial" w:eastAsia="Arial" w:hAnsi="Arial"/>
                <w:sz w:val="18"/>
                <w:szCs w:val="18"/>
                <w:color w:val="auto"/>
              </w:rPr>
              <w:t>Cancellation and Destruction of Surrendered Receipts.</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400" w:type="dxa"/>
            <w:vAlign w:val="bottom"/>
          </w:tcPr>
          <w:p>
            <w:pPr>
              <w:ind w:left="520"/>
              <w:spacing w:after="0"/>
              <w:rPr>
                <w:sz w:val="20"/>
                <w:szCs w:val="20"/>
                <w:color w:val="auto"/>
              </w:rPr>
            </w:pPr>
            <w:r>
              <w:rPr>
                <w:rFonts w:ascii="Arial" w:cs="Arial" w:eastAsia="Arial" w:hAnsi="Arial"/>
                <w:sz w:val="18"/>
                <w:szCs w:val="18"/>
                <w:color w:val="auto"/>
              </w:rPr>
              <w:t>DTC Direct Registration System and Profile Modification System.</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ARTICLE 3.</w:t>
            </w:r>
          </w:p>
        </w:tc>
        <w:tc>
          <w:tcPr>
            <w:tcW w:w="8400" w:type="dxa"/>
            <w:vAlign w:val="bottom"/>
          </w:tcPr>
          <w:p>
            <w:pPr>
              <w:ind w:left="160"/>
              <w:spacing w:after="0"/>
              <w:rPr>
                <w:sz w:val="20"/>
                <w:szCs w:val="20"/>
                <w:color w:val="auto"/>
              </w:rPr>
            </w:pPr>
            <w:r>
              <w:rPr>
                <w:rFonts w:ascii="Arial" w:cs="Arial" w:eastAsia="Arial" w:hAnsi="Arial"/>
                <w:sz w:val="18"/>
                <w:szCs w:val="18"/>
                <w:color w:val="auto"/>
              </w:rPr>
              <w:t>CERTAIN OBLIGATIONS OF OWNERS AND HOLDERS OF AMERICAN DEPOSITARY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400" w:type="dxa"/>
            <w:vAlign w:val="bottom"/>
          </w:tcPr>
          <w:p>
            <w:pPr>
              <w:ind w:left="520"/>
              <w:spacing w:after="0"/>
              <w:rPr>
                <w:sz w:val="20"/>
                <w:szCs w:val="20"/>
                <w:color w:val="auto"/>
              </w:rPr>
            </w:pPr>
            <w:r>
              <w:rPr>
                <w:rFonts w:ascii="Arial" w:cs="Arial" w:eastAsia="Arial" w:hAnsi="Arial"/>
                <w:sz w:val="18"/>
                <w:szCs w:val="18"/>
                <w:color w:val="auto"/>
              </w:rPr>
              <w:t>Filing Proofs, Certificates and Other Information.</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400" w:type="dxa"/>
            <w:vAlign w:val="bottom"/>
          </w:tcPr>
          <w:p>
            <w:pPr>
              <w:ind w:left="520"/>
              <w:spacing w:after="0"/>
              <w:rPr>
                <w:sz w:val="20"/>
                <w:szCs w:val="20"/>
                <w:color w:val="auto"/>
              </w:rPr>
            </w:pPr>
            <w:r>
              <w:rPr>
                <w:rFonts w:ascii="Arial" w:cs="Arial" w:eastAsia="Arial" w:hAnsi="Arial"/>
                <w:sz w:val="18"/>
                <w:szCs w:val="18"/>
                <w:color w:val="auto"/>
              </w:rPr>
              <w:t>Liability of Owner for Taxes.</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400" w:type="dxa"/>
            <w:vAlign w:val="bottom"/>
          </w:tcPr>
          <w:p>
            <w:pPr>
              <w:ind w:left="520"/>
              <w:spacing w:after="0"/>
              <w:rPr>
                <w:sz w:val="20"/>
                <w:szCs w:val="20"/>
                <w:color w:val="auto"/>
              </w:rPr>
            </w:pPr>
            <w:r>
              <w:rPr>
                <w:rFonts w:ascii="Arial" w:cs="Arial" w:eastAsia="Arial" w:hAnsi="Arial"/>
                <w:sz w:val="18"/>
                <w:szCs w:val="18"/>
                <w:color w:val="auto"/>
              </w:rPr>
              <w:t>Warranties on Deposit of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400" w:type="dxa"/>
            <w:vAlign w:val="bottom"/>
          </w:tcPr>
          <w:p>
            <w:pPr>
              <w:ind w:left="520"/>
              <w:spacing w:after="0"/>
              <w:rPr>
                <w:sz w:val="20"/>
                <w:szCs w:val="20"/>
                <w:color w:val="auto"/>
              </w:rPr>
            </w:pPr>
            <w:r>
              <w:rPr>
                <w:rFonts w:ascii="Arial" w:cs="Arial" w:eastAsia="Arial" w:hAnsi="Arial"/>
                <w:sz w:val="18"/>
                <w:szCs w:val="18"/>
                <w:color w:val="auto"/>
              </w:rPr>
              <w:t>Disclosure of Interests.</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ARTICLE 4.</w:t>
            </w:r>
          </w:p>
        </w:tc>
        <w:tc>
          <w:tcPr>
            <w:tcW w:w="8400" w:type="dxa"/>
            <w:vAlign w:val="bottom"/>
          </w:tcPr>
          <w:p>
            <w:pPr>
              <w:ind w:left="160"/>
              <w:spacing w:after="0"/>
              <w:rPr>
                <w:sz w:val="20"/>
                <w:szCs w:val="20"/>
                <w:color w:val="auto"/>
              </w:rPr>
            </w:pPr>
            <w:r>
              <w:rPr>
                <w:rFonts w:ascii="Arial" w:cs="Arial" w:eastAsia="Arial" w:hAnsi="Arial"/>
                <w:sz w:val="18"/>
                <w:szCs w:val="18"/>
                <w:color w:val="auto"/>
              </w:rPr>
              <w:t>THE DEPOSITED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400" w:type="dxa"/>
            <w:vAlign w:val="bottom"/>
          </w:tcPr>
          <w:p>
            <w:pPr>
              <w:ind w:left="520"/>
              <w:spacing w:after="0"/>
              <w:rPr>
                <w:sz w:val="20"/>
                <w:szCs w:val="20"/>
                <w:color w:val="auto"/>
              </w:rPr>
            </w:pPr>
            <w:r>
              <w:rPr>
                <w:rFonts w:ascii="Arial" w:cs="Arial" w:eastAsia="Arial" w:hAnsi="Arial"/>
                <w:sz w:val="18"/>
                <w:szCs w:val="18"/>
                <w:color w:val="auto"/>
              </w:rPr>
              <w:t>Cash Distributions.</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400" w:type="dxa"/>
            <w:vAlign w:val="bottom"/>
          </w:tcPr>
          <w:p>
            <w:pPr>
              <w:ind w:left="520"/>
              <w:spacing w:after="0"/>
              <w:rPr>
                <w:sz w:val="20"/>
                <w:szCs w:val="20"/>
                <w:color w:val="auto"/>
              </w:rPr>
            </w:pPr>
            <w:r>
              <w:rPr>
                <w:rFonts w:ascii="Arial" w:cs="Arial" w:eastAsia="Arial" w:hAnsi="Arial"/>
                <w:sz w:val="18"/>
                <w:szCs w:val="18"/>
                <w:color w:val="auto"/>
              </w:rPr>
              <w:t>Distributions Other Than Cash, Shares or Rights.</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400" w:type="dxa"/>
            <w:vAlign w:val="bottom"/>
          </w:tcPr>
          <w:p>
            <w:pPr>
              <w:ind w:left="520"/>
              <w:spacing w:after="0"/>
              <w:rPr>
                <w:sz w:val="20"/>
                <w:szCs w:val="20"/>
                <w:color w:val="auto"/>
              </w:rPr>
            </w:pPr>
            <w:r>
              <w:rPr>
                <w:rFonts w:ascii="Arial" w:cs="Arial" w:eastAsia="Arial" w:hAnsi="Arial"/>
                <w:sz w:val="18"/>
                <w:szCs w:val="18"/>
                <w:color w:val="auto"/>
              </w:rPr>
              <w:t>Distributions in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400" w:type="dxa"/>
            <w:vAlign w:val="bottom"/>
          </w:tcPr>
          <w:p>
            <w:pPr>
              <w:ind w:left="520"/>
              <w:spacing w:after="0"/>
              <w:rPr>
                <w:sz w:val="20"/>
                <w:szCs w:val="20"/>
                <w:color w:val="auto"/>
              </w:rPr>
            </w:pPr>
            <w:r>
              <w:rPr>
                <w:rFonts w:ascii="Arial" w:cs="Arial" w:eastAsia="Arial" w:hAnsi="Arial"/>
                <w:sz w:val="18"/>
                <w:szCs w:val="18"/>
                <w:color w:val="auto"/>
              </w:rPr>
              <w:t>Rights.</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400" w:type="dxa"/>
            <w:vAlign w:val="bottom"/>
          </w:tcPr>
          <w:p>
            <w:pPr>
              <w:ind w:left="520"/>
              <w:spacing w:after="0"/>
              <w:rPr>
                <w:sz w:val="20"/>
                <w:szCs w:val="20"/>
                <w:color w:val="auto"/>
              </w:rPr>
            </w:pPr>
            <w:r>
              <w:rPr>
                <w:rFonts w:ascii="Arial" w:cs="Arial" w:eastAsia="Arial" w:hAnsi="Arial"/>
                <w:sz w:val="18"/>
                <w:szCs w:val="18"/>
                <w:color w:val="auto"/>
              </w:rPr>
              <w:t>Conversion of Foreign Currency.</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400" w:type="dxa"/>
            <w:vAlign w:val="bottom"/>
          </w:tcPr>
          <w:p>
            <w:pPr>
              <w:ind w:left="520"/>
              <w:spacing w:after="0"/>
              <w:rPr>
                <w:sz w:val="20"/>
                <w:szCs w:val="20"/>
                <w:color w:val="auto"/>
              </w:rPr>
            </w:pPr>
            <w:r>
              <w:rPr>
                <w:rFonts w:ascii="Arial" w:cs="Arial" w:eastAsia="Arial" w:hAnsi="Arial"/>
                <w:sz w:val="18"/>
                <w:szCs w:val="18"/>
                <w:color w:val="auto"/>
              </w:rPr>
              <w:t>Fixing of Record Date.</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400" w:type="dxa"/>
            <w:vAlign w:val="bottom"/>
          </w:tcPr>
          <w:p>
            <w:pPr>
              <w:ind w:left="520"/>
              <w:spacing w:after="0"/>
              <w:rPr>
                <w:sz w:val="20"/>
                <w:szCs w:val="20"/>
                <w:color w:val="auto"/>
              </w:rPr>
            </w:pPr>
            <w:r>
              <w:rPr>
                <w:rFonts w:ascii="Arial" w:cs="Arial" w:eastAsia="Arial" w:hAnsi="Arial"/>
                <w:sz w:val="18"/>
                <w:szCs w:val="18"/>
                <w:color w:val="auto"/>
              </w:rPr>
              <w:t>Voting of Deposited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400" w:type="dxa"/>
            <w:vAlign w:val="bottom"/>
          </w:tcPr>
          <w:p>
            <w:pPr>
              <w:ind w:left="520"/>
              <w:spacing w:after="0"/>
              <w:rPr>
                <w:sz w:val="20"/>
                <w:szCs w:val="20"/>
                <w:color w:val="auto"/>
              </w:rPr>
            </w:pPr>
            <w:r>
              <w:rPr>
                <w:rFonts w:ascii="Arial" w:cs="Arial" w:eastAsia="Arial" w:hAnsi="Arial"/>
                <w:sz w:val="18"/>
                <w:szCs w:val="18"/>
                <w:color w:val="auto"/>
              </w:rPr>
              <w:t>Tender and Exchange Offers; Redemption, Replacement or Cancellation of Deposited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400" w:type="dxa"/>
            <w:vAlign w:val="bottom"/>
          </w:tcPr>
          <w:p>
            <w:pPr>
              <w:ind w:left="520"/>
              <w:spacing w:after="0"/>
              <w:rPr>
                <w:sz w:val="20"/>
                <w:szCs w:val="20"/>
                <w:color w:val="auto"/>
              </w:rPr>
            </w:pPr>
            <w:r>
              <w:rPr>
                <w:rFonts w:ascii="Arial" w:cs="Arial" w:eastAsia="Arial" w:hAnsi="Arial"/>
                <w:sz w:val="18"/>
                <w:szCs w:val="18"/>
                <w:color w:val="auto"/>
              </w:rPr>
              <w:t>Reports.</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8400" w:type="dxa"/>
            <w:vAlign w:val="bottom"/>
          </w:tcPr>
          <w:p>
            <w:pPr>
              <w:ind w:left="520"/>
              <w:spacing w:after="0"/>
              <w:rPr>
                <w:sz w:val="20"/>
                <w:szCs w:val="20"/>
                <w:color w:val="auto"/>
              </w:rPr>
            </w:pPr>
            <w:r>
              <w:rPr>
                <w:rFonts w:ascii="Arial" w:cs="Arial" w:eastAsia="Arial" w:hAnsi="Arial"/>
                <w:sz w:val="18"/>
                <w:szCs w:val="18"/>
                <w:color w:val="auto"/>
              </w:rPr>
              <w:t>Lists of Owners.</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8400" w:type="dxa"/>
            <w:vAlign w:val="bottom"/>
          </w:tcPr>
          <w:p>
            <w:pPr>
              <w:ind w:left="520"/>
              <w:spacing w:after="0"/>
              <w:rPr>
                <w:sz w:val="20"/>
                <w:szCs w:val="20"/>
                <w:color w:val="auto"/>
              </w:rPr>
            </w:pPr>
            <w:r>
              <w:rPr>
                <w:rFonts w:ascii="Arial" w:cs="Arial" w:eastAsia="Arial" w:hAnsi="Arial"/>
                <w:sz w:val="18"/>
                <w:szCs w:val="18"/>
                <w:color w:val="auto"/>
              </w:rPr>
              <w:t>Withholding.</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ARTICLE 5.</w:t>
            </w:r>
          </w:p>
        </w:tc>
        <w:tc>
          <w:tcPr>
            <w:tcW w:w="8400" w:type="dxa"/>
            <w:vAlign w:val="bottom"/>
          </w:tcPr>
          <w:p>
            <w:pPr>
              <w:ind w:left="160"/>
              <w:spacing w:after="0"/>
              <w:rPr>
                <w:sz w:val="20"/>
                <w:szCs w:val="20"/>
                <w:color w:val="auto"/>
              </w:rPr>
            </w:pPr>
            <w:r>
              <w:rPr>
                <w:rFonts w:ascii="Arial" w:cs="Arial" w:eastAsia="Arial" w:hAnsi="Arial"/>
                <w:sz w:val="18"/>
                <w:szCs w:val="18"/>
                <w:color w:val="auto"/>
              </w:rPr>
              <w:t>THE DEPOSITARY, THE CUSTODIANS AND THE COMPANY</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400" w:type="dxa"/>
            <w:vAlign w:val="bottom"/>
          </w:tcPr>
          <w:p>
            <w:pPr>
              <w:ind w:left="520"/>
              <w:spacing w:after="0"/>
              <w:rPr>
                <w:sz w:val="20"/>
                <w:szCs w:val="20"/>
                <w:color w:val="auto"/>
              </w:rPr>
            </w:pPr>
            <w:r>
              <w:rPr>
                <w:rFonts w:ascii="Arial" w:cs="Arial" w:eastAsia="Arial" w:hAnsi="Arial"/>
                <w:sz w:val="18"/>
                <w:szCs w:val="18"/>
                <w:color w:val="auto"/>
              </w:rPr>
              <w:t>Maintenance of Office and Register by the Depositary.</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400" w:type="dxa"/>
            <w:vAlign w:val="bottom"/>
          </w:tcPr>
          <w:p>
            <w:pPr>
              <w:ind w:left="520"/>
              <w:spacing w:after="0"/>
              <w:rPr>
                <w:sz w:val="20"/>
                <w:szCs w:val="20"/>
                <w:color w:val="auto"/>
              </w:rPr>
            </w:pPr>
            <w:r>
              <w:rPr>
                <w:rFonts w:ascii="Arial" w:cs="Arial" w:eastAsia="Arial" w:hAnsi="Arial"/>
                <w:sz w:val="18"/>
                <w:szCs w:val="18"/>
                <w:color w:val="auto"/>
              </w:rPr>
              <w:t>Prevention or Delay of Performance by the Company or the Depositary.</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400" w:type="dxa"/>
            <w:vAlign w:val="bottom"/>
          </w:tcPr>
          <w:p>
            <w:pPr>
              <w:ind w:left="520"/>
              <w:spacing w:after="0"/>
              <w:rPr>
                <w:sz w:val="20"/>
                <w:szCs w:val="20"/>
                <w:color w:val="auto"/>
              </w:rPr>
            </w:pPr>
            <w:r>
              <w:rPr>
                <w:rFonts w:ascii="Arial" w:cs="Arial" w:eastAsia="Arial" w:hAnsi="Arial"/>
                <w:sz w:val="18"/>
                <w:szCs w:val="18"/>
                <w:color w:val="auto"/>
              </w:rPr>
              <w:t>Obligations of the Depositary and the Company.</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400" w:type="dxa"/>
            <w:vAlign w:val="bottom"/>
          </w:tcPr>
          <w:p>
            <w:pPr>
              <w:ind w:left="520"/>
              <w:spacing w:after="0"/>
              <w:rPr>
                <w:sz w:val="20"/>
                <w:szCs w:val="20"/>
                <w:color w:val="auto"/>
              </w:rPr>
            </w:pPr>
            <w:r>
              <w:rPr>
                <w:rFonts w:ascii="Arial" w:cs="Arial" w:eastAsia="Arial" w:hAnsi="Arial"/>
                <w:sz w:val="18"/>
                <w:szCs w:val="18"/>
                <w:color w:val="auto"/>
              </w:rPr>
              <w:t>Resignation and Removal of the Depositary.</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400" w:type="dxa"/>
            <w:vAlign w:val="bottom"/>
          </w:tcPr>
          <w:p>
            <w:pPr>
              <w:ind w:left="520"/>
              <w:spacing w:after="0"/>
              <w:rPr>
                <w:sz w:val="20"/>
                <w:szCs w:val="20"/>
                <w:color w:val="auto"/>
              </w:rPr>
            </w:pPr>
            <w:r>
              <w:rPr>
                <w:rFonts w:ascii="Arial" w:cs="Arial" w:eastAsia="Arial" w:hAnsi="Arial"/>
                <w:sz w:val="18"/>
                <w:szCs w:val="18"/>
                <w:color w:val="auto"/>
              </w:rPr>
              <w:t>The Custodians.</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400" w:type="dxa"/>
            <w:vAlign w:val="bottom"/>
          </w:tcPr>
          <w:p>
            <w:pPr>
              <w:ind w:left="520"/>
              <w:spacing w:after="0"/>
              <w:rPr>
                <w:sz w:val="20"/>
                <w:szCs w:val="20"/>
                <w:color w:val="auto"/>
              </w:rPr>
            </w:pPr>
            <w:r>
              <w:rPr>
                <w:rFonts w:ascii="Arial" w:cs="Arial" w:eastAsia="Arial" w:hAnsi="Arial"/>
                <w:sz w:val="18"/>
                <w:szCs w:val="18"/>
                <w:color w:val="auto"/>
              </w:rPr>
              <w:t>Notices and Reports.</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400" w:type="dxa"/>
            <w:vAlign w:val="bottom"/>
          </w:tcPr>
          <w:p>
            <w:pPr>
              <w:ind w:left="520"/>
              <w:spacing w:after="0"/>
              <w:rPr>
                <w:sz w:val="20"/>
                <w:szCs w:val="20"/>
                <w:color w:val="auto"/>
              </w:rPr>
            </w:pPr>
            <w:r>
              <w:rPr>
                <w:rFonts w:ascii="Arial" w:cs="Arial" w:eastAsia="Arial" w:hAnsi="Arial"/>
                <w:sz w:val="18"/>
                <w:szCs w:val="18"/>
                <w:color w:val="auto"/>
              </w:rPr>
              <w:t>Distribution of Additional Shares, Rights, etc.</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400" w:type="dxa"/>
            <w:vAlign w:val="bottom"/>
          </w:tcPr>
          <w:p>
            <w:pPr>
              <w:ind w:left="520"/>
              <w:spacing w:after="0"/>
              <w:rPr>
                <w:sz w:val="20"/>
                <w:szCs w:val="20"/>
                <w:color w:val="auto"/>
              </w:rPr>
            </w:pPr>
            <w:r>
              <w:rPr>
                <w:rFonts w:ascii="Arial" w:cs="Arial" w:eastAsia="Arial" w:hAnsi="Arial"/>
                <w:sz w:val="18"/>
                <w:szCs w:val="18"/>
                <w:color w:val="auto"/>
              </w:rPr>
              <w:t>Indemnification.</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400" w:type="dxa"/>
            <w:vAlign w:val="bottom"/>
          </w:tcPr>
          <w:p>
            <w:pPr>
              <w:ind w:left="520"/>
              <w:spacing w:after="0"/>
              <w:rPr>
                <w:sz w:val="20"/>
                <w:szCs w:val="20"/>
                <w:color w:val="auto"/>
              </w:rPr>
            </w:pPr>
            <w:r>
              <w:rPr>
                <w:rFonts w:ascii="Arial" w:cs="Arial" w:eastAsia="Arial" w:hAnsi="Arial"/>
                <w:sz w:val="18"/>
                <w:szCs w:val="18"/>
                <w:color w:val="auto"/>
              </w:rPr>
              <w:t>Charges of Depositary.</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400" w:type="dxa"/>
            <w:vAlign w:val="bottom"/>
          </w:tcPr>
          <w:p>
            <w:pPr>
              <w:ind w:left="520"/>
              <w:spacing w:after="0"/>
              <w:rPr>
                <w:sz w:val="20"/>
                <w:szCs w:val="20"/>
                <w:color w:val="auto"/>
              </w:rPr>
            </w:pPr>
            <w:r>
              <w:rPr>
                <w:rFonts w:ascii="Arial" w:cs="Arial" w:eastAsia="Arial" w:hAnsi="Arial"/>
                <w:sz w:val="18"/>
                <w:szCs w:val="18"/>
                <w:color w:val="auto"/>
              </w:rPr>
              <w:t>Retention of Depositary Documents.</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400" w:type="dxa"/>
            <w:vAlign w:val="bottom"/>
          </w:tcPr>
          <w:p>
            <w:pPr>
              <w:ind w:left="520"/>
              <w:spacing w:after="0"/>
              <w:rPr>
                <w:sz w:val="20"/>
                <w:szCs w:val="20"/>
                <w:color w:val="auto"/>
              </w:rPr>
            </w:pPr>
            <w:r>
              <w:rPr>
                <w:rFonts w:ascii="Arial" w:cs="Arial" w:eastAsia="Arial" w:hAnsi="Arial"/>
                <w:sz w:val="18"/>
                <w:szCs w:val="18"/>
                <w:color w:val="auto"/>
              </w:rPr>
              <w:t>Exclusivity.</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6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400" w:type="dxa"/>
            <w:vAlign w:val="bottom"/>
          </w:tcPr>
          <w:p>
            <w:pPr>
              <w:ind w:left="520"/>
              <w:spacing w:after="0"/>
              <w:rPr>
                <w:sz w:val="20"/>
                <w:szCs w:val="20"/>
                <w:color w:val="auto"/>
              </w:rPr>
            </w:pPr>
            <w:r>
              <w:rPr>
                <w:rFonts w:ascii="Arial" w:cs="Arial" w:eastAsia="Arial" w:hAnsi="Arial"/>
                <w:sz w:val="18"/>
                <w:szCs w:val="18"/>
                <w:color w:val="auto"/>
              </w:rPr>
              <w:t>Information for Regulatory Compliance.</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ARTICLE 6.</w:t>
            </w:r>
          </w:p>
        </w:tc>
        <w:tc>
          <w:tcPr>
            <w:tcW w:w="8180" w:type="dxa"/>
            <w:vAlign w:val="bottom"/>
          </w:tcPr>
          <w:p>
            <w:pPr>
              <w:ind w:left="160"/>
              <w:spacing w:after="0"/>
              <w:rPr>
                <w:sz w:val="20"/>
                <w:szCs w:val="20"/>
                <w:color w:val="auto"/>
              </w:rPr>
            </w:pPr>
            <w:r>
              <w:rPr>
                <w:rFonts w:ascii="Arial" w:cs="Arial" w:eastAsia="Arial" w:hAnsi="Arial"/>
                <w:sz w:val="18"/>
                <w:szCs w:val="18"/>
                <w:color w:val="auto"/>
              </w:rPr>
              <w:t>AMENDMENT AND TERMINATION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180" w:type="dxa"/>
            <w:vAlign w:val="bottom"/>
          </w:tcPr>
          <w:p>
            <w:pPr>
              <w:ind w:left="500"/>
              <w:spacing w:after="0"/>
              <w:rPr>
                <w:sz w:val="20"/>
                <w:szCs w:val="20"/>
                <w:color w:val="auto"/>
              </w:rPr>
            </w:pPr>
            <w:r>
              <w:rPr>
                <w:rFonts w:ascii="Arial" w:cs="Arial" w:eastAsia="Arial" w:hAnsi="Arial"/>
                <w:sz w:val="18"/>
                <w:szCs w:val="18"/>
                <w:color w:val="auto"/>
              </w:rPr>
              <w:t>Amendment.</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180" w:type="dxa"/>
            <w:vAlign w:val="bottom"/>
          </w:tcPr>
          <w:p>
            <w:pPr>
              <w:ind w:left="520"/>
              <w:spacing w:after="0"/>
              <w:rPr>
                <w:sz w:val="20"/>
                <w:szCs w:val="20"/>
                <w:color w:val="auto"/>
              </w:rPr>
            </w:pPr>
            <w:r>
              <w:rPr>
                <w:rFonts w:ascii="Arial" w:cs="Arial" w:eastAsia="Arial" w:hAnsi="Arial"/>
                <w:sz w:val="18"/>
                <w:szCs w:val="18"/>
                <w:color w:val="auto"/>
              </w:rPr>
              <w:t>Termination.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1580" w:type="dxa"/>
            <w:vAlign w:val="bottom"/>
          </w:tcPr>
          <w:p>
            <w:pPr>
              <w:spacing w:after="0"/>
              <w:rPr>
                <w:sz w:val="20"/>
                <w:szCs w:val="20"/>
                <w:color w:val="auto"/>
              </w:rPr>
            </w:pPr>
            <w:r>
              <w:rPr>
                <w:rFonts w:ascii="Arial" w:cs="Arial" w:eastAsia="Arial" w:hAnsi="Arial"/>
                <w:sz w:val="18"/>
                <w:szCs w:val="18"/>
                <w:color w:val="auto"/>
              </w:rPr>
              <w:t>ARTICLE 7.</w:t>
            </w:r>
          </w:p>
        </w:tc>
        <w:tc>
          <w:tcPr>
            <w:tcW w:w="818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180" w:type="dxa"/>
            <w:vAlign w:val="bottom"/>
          </w:tcPr>
          <w:p>
            <w:pPr>
              <w:ind w:left="520"/>
              <w:spacing w:after="0"/>
              <w:rPr>
                <w:sz w:val="20"/>
                <w:szCs w:val="20"/>
                <w:color w:val="auto"/>
              </w:rPr>
            </w:pPr>
            <w:r>
              <w:rPr>
                <w:rFonts w:ascii="Arial" w:cs="Arial" w:eastAsia="Arial" w:hAnsi="Arial"/>
                <w:sz w:val="18"/>
                <w:szCs w:val="18"/>
                <w:color w:val="auto"/>
              </w:rPr>
              <w:t>Counterparts; Signatures; Delivery.</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180" w:type="dxa"/>
            <w:vAlign w:val="bottom"/>
          </w:tcPr>
          <w:p>
            <w:pPr>
              <w:ind w:left="520"/>
              <w:spacing w:after="0"/>
              <w:rPr>
                <w:sz w:val="20"/>
                <w:szCs w:val="20"/>
                <w:color w:val="auto"/>
              </w:rPr>
            </w:pPr>
            <w:r>
              <w:rPr>
                <w:rFonts w:ascii="Arial" w:cs="Arial" w:eastAsia="Arial" w:hAnsi="Arial"/>
                <w:sz w:val="18"/>
                <w:szCs w:val="18"/>
                <w:color w:val="auto"/>
              </w:rPr>
              <w:t>No Third Party Beneficiaries.</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180" w:type="dxa"/>
            <w:vAlign w:val="bottom"/>
          </w:tcPr>
          <w:p>
            <w:pPr>
              <w:ind w:left="520"/>
              <w:spacing w:after="0"/>
              <w:rPr>
                <w:sz w:val="20"/>
                <w:szCs w:val="20"/>
                <w:color w:val="auto"/>
              </w:rPr>
            </w:pPr>
            <w:r>
              <w:rPr>
                <w:rFonts w:ascii="Arial" w:cs="Arial" w:eastAsia="Arial" w:hAnsi="Arial"/>
                <w:sz w:val="18"/>
                <w:szCs w:val="18"/>
                <w:color w:val="auto"/>
              </w:rPr>
              <w:t>Severability.</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180" w:type="dxa"/>
            <w:vAlign w:val="bottom"/>
          </w:tcPr>
          <w:p>
            <w:pPr>
              <w:ind w:left="520"/>
              <w:spacing w:after="0"/>
              <w:rPr>
                <w:sz w:val="20"/>
                <w:szCs w:val="20"/>
                <w:color w:val="auto"/>
              </w:rPr>
            </w:pPr>
            <w:r>
              <w:rPr>
                <w:rFonts w:ascii="Arial" w:cs="Arial" w:eastAsia="Arial" w:hAnsi="Arial"/>
                <w:sz w:val="18"/>
                <w:szCs w:val="18"/>
                <w:color w:val="auto"/>
              </w:rPr>
              <w:t>Owners and Holders as Parties; Binding Effect.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180" w:type="dxa"/>
            <w:vAlign w:val="bottom"/>
          </w:tcPr>
          <w:p>
            <w:pPr>
              <w:ind w:left="520"/>
              <w:spacing w:after="0"/>
              <w:rPr>
                <w:sz w:val="20"/>
                <w:szCs w:val="20"/>
                <w:color w:val="auto"/>
              </w:rPr>
            </w:pPr>
            <w:r>
              <w:rPr>
                <w:rFonts w:ascii="Arial" w:cs="Arial" w:eastAsia="Arial" w:hAnsi="Arial"/>
                <w:sz w:val="18"/>
                <w:szCs w:val="18"/>
                <w:color w:val="auto"/>
              </w:rPr>
              <w:t>Notices.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180" w:type="dxa"/>
            <w:vAlign w:val="bottom"/>
          </w:tcPr>
          <w:p>
            <w:pPr>
              <w:ind w:left="500"/>
              <w:spacing w:after="0"/>
              <w:rPr>
                <w:sz w:val="20"/>
                <w:szCs w:val="20"/>
                <w:color w:val="auto"/>
              </w:rPr>
            </w:pPr>
            <w:r>
              <w:rPr>
                <w:rFonts w:ascii="Arial" w:cs="Arial" w:eastAsia="Arial" w:hAnsi="Arial"/>
                <w:sz w:val="18"/>
                <w:szCs w:val="18"/>
                <w:color w:val="auto"/>
              </w:rPr>
              <w:t>Arbitration; Settlement of Disputes</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180" w:type="dxa"/>
            <w:vAlign w:val="bottom"/>
          </w:tcPr>
          <w:p>
            <w:pPr>
              <w:ind w:left="500"/>
              <w:spacing w:after="0"/>
              <w:rPr>
                <w:sz w:val="20"/>
                <w:szCs w:val="20"/>
                <w:color w:val="auto"/>
              </w:rPr>
            </w:pPr>
            <w:r>
              <w:rPr>
                <w:rFonts w:ascii="Arial" w:cs="Arial" w:eastAsia="Arial" w:hAnsi="Arial"/>
                <w:sz w:val="18"/>
                <w:szCs w:val="18"/>
                <w:color w:val="auto"/>
              </w:rPr>
              <w:t>Appointment of Agent for Service of Process; Submission to Jurisdiction; Jury Trial Waiver.</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180" w:type="dxa"/>
            <w:vAlign w:val="bottom"/>
          </w:tcPr>
          <w:p>
            <w:pPr>
              <w:ind w:left="520"/>
              <w:spacing w:after="0"/>
              <w:rPr>
                <w:sz w:val="20"/>
                <w:szCs w:val="20"/>
                <w:color w:val="auto"/>
              </w:rPr>
            </w:pPr>
            <w:r>
              <w:rPr>
                <w:rFonts w:ascii="Arial" w:cs="Arial" w:eastAsia="Arial" w:hAnsi="Arial"/>
                <w:sz w:val="18"/>
                <w:szCs w:val="18"/>
                <w:color w:val="auto"/>
              </w:rPr>
              <w:t>Waiver of Immunities.</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180" w:type="dxa"/>
            <w:vAlign w:val="bottom"/>
          </w:tcPr>
          <w:p>
            <w:pPr>
              <w:ind w:left="520"/>
              <w:spacing w:after="0"/>
              <w:rPr>
                <w:sz w:val="20"/>
                <w:szCs w:val="20"/>
                <w:color w:val="auto"/>
              </w:rPr>
            </w:pPr>
            <w:r>
              <w:rPr>
                <w:rFonts w:ascii="Arial" w:cs="Arial" w:eastAsia="Arial" w:hAnsi="Arial"/>
                <w:sz w:val="18"/>
                <w:szCs w:val="18"/>
                <w:color w:val="auto"/>
              </w:rPr>
              <w:t>Governing Law.</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AGREEMENT</w:t>
      </w:r>
    </w:p>
    <w:p>
      <w:pPr>
        <w:spacing w:after="0" w:line="225" w:lineRule="exact"/>
        <w:rPr>
          <w:sz w:val="20"/>
          <w:szCs w:val="20"/>
          <w:color w:val="auto"/>
        </w:rPr>
      </w:pPr>
    </w:p>
    <w:p>
      <w:pPr>
        <w:ind w:left="980"/>
        <w:spacing w:after="0"/>
        <w:tabs>
          <w:tab w:leader="none" w:pos="4640" w:val="left"/>
        </w:tabs>
        <w:rPr>
          <w:sz w:val="20"/>
          <w:szCs w:val="20"/>
          <w:color w:val="auto"/>
        </w:rPr>
      </w:pPr>
      <w:r>
        <w:rPr>
          <w:rFonts w:ascii="Arial" w:cs="Arial" w:eastAsia="Arial" w:hAnsi="Arial"/>
          <w:sz w:val="18"/>
          <w:szCs w:val="18"/>
          <w:color w:val="auto"/>
        </w:rPr>
        <w:t>DEPOSIT AGREEMENT dated as of</w:t>
      </w:r>
      <w:r>
        <w:rPr>
          <w:sz w:val="20"/>
          <w:szCs w:val="20"/>
          <w:color w:val="auto"/>
        </w:rPr>
        <w:tab/>
      </w:r>
      <w:r>
        <w:rPr>
          <w:rFonts w:ascii="Arial" w:cs="Arial" w:eastAsia="Arial" w:hAnsi="Arial"/>
          <w:sz w:val="16"/>
          <w:szCs w:val="16"/>
          <w:color w:val="auto"/>
        </w:rPr>
        <w:t>, 2020 among KINGSOFT CLOUD HOLDINGS LIMITED, a company incorporated</w:t>
      </w:r>
    </w:p>
    <w:p>
      <w:pPr>
        <w:spacing w:after="0" w:line="23"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under the laws of the Cayman Islands (herein called the Company), THE BANK OF NEW YORK MELLON, a New York banking corporation (herein called the Depositary), and all Owners and Holders (each as hereinafter defined) from time to time of American Depositary Shares issued hereunder.</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in consideration of the premises, it is agreed by and between the parties hereto as follows: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definitions shall for all purposes, unless otherwise clearly indicated, apply to the respective terms used in this Deposit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American Depositary Shares.</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American Depositary Shares</w:t>
      </w:r>
      <w:r>
        <w:rPr>
          <w:rFonts w:ascii="Arial" w:cs="Arial" w:eastAsia="Arial" w:hAnsi="Arial"/>
          <w:sz w:val="17"/>
          <w:szCs w:val="17"/>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350" w:name="page351"/>
    <w:bookmarkEnd w:id="350"/>
    <w:p>
      <w:pPr>
        <w:ind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American Depositary Share shall represent the number of Shares specified in Exhibit A to this Deposit Agreement, </w:t>
      </w:r>
      <w:r>
        <w:rPr>
          <w:rFonts w:ascii="Arial" w:cs="Arial" w:eastAsia="Arial" w:hAnsi="Arial"/>
          <w:sz w:val="18"/>
          <w:szCs w:val="18"/>
          <w:u w:val="single" w:color="auto"/>
          <w:color w:val="auto"/>
        </w:rPr>
        <w:t>except that</w:t>
      </w:r>
      <w:r>
        <w:rPr>
          <w:rFonts w:ascii="Arial" w:cs="Arial" w:eastAsia="Arial" w:hAnsi="Arial"/>
          <w:sz w:val="18"/>
          <w:szCs w:val="18"/>
          <w:color w:val="auto"/>
        </w:rPr>
        <w:t>,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188"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Commission.</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5"/>
          <w:szCs w:val="15"/>
          <w:u w:val="single" w:color="auto"/>
          <w:color w:val="auto"/>
        </w:rPr>
        <w:t>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Company</w:t>
      </w:r>
      <w:r>
        <w:rPr>
          <w:rFonts w:ascii="Arial" w:cs="Arial" w:eastAsia="Arial" w:hAnsi="Arial"/>
          <w:sz w:val="16"/>
          <w:szCs w:val="16"/>
          <w:color w:val="auto"/>
        </w:rPr>
        <w:t>” shall mean Kingsoft Cloud Holdings Limited, a company incorporated under the laws of the Cayman Islands,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5"/>
          <w:szCs w:val="15"/>
          <w:u w:val="single" w:color="auto"/>
          <w:color w:val="auto"/>
        </w:rPr>
        <w:t>Custodian.</w:t>
      </w:r>
    </w:p>
    <w:p>
      <w:pPr>
        <w:spacing w:after="0" w:line="22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The term “Custodian” shall mean The Hongkong and Shanghai Banking Corporation Limited, as custodian for the Depositary in Hong Kong for the purposes of this Deposit Agreement, and any other firm or corporation the Depositary appoints under Section 5.5 as a substitute or additional custodian under this Deposit Agreement, and shall also mean all of them collectively.</w:t>
      </w:r>
    </w:p>
    <w:p>
      <w:pPr>
        <w:spacing w:after="0" w:line="184"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Deliver; Surrender.</w:t>
      </w:r>
    </w:p>
    <w:p>
      <w:pPr>
        <w:spacing w:after="0" w:line="225" w:lineRule="exact"/>
        <w:rPr>
          <w:sz w:val="20"/>
          <w:szCs w:val="20"/>
          <w:color w:val="auto"/>
        </w:rPr>
      </w:pPr>
    </w:p>
    <w:p>
      <w:pPr>
        <w:ind w:right="260" w:firstLine="987"/>
        <w:spacing w:after="0" w:line="301" w:lineRule="auto"/>
        <w:tabs>
          <w:tab w:leader="none" w:pos="136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deliver</w:t>
      </w:r>
      <w:r>
        <w:rPr>
          <w:rFonts w:ascii="Arial" w:cs="Arial" w:eastAsia="Arial" w:hAnsi="Arial"/>
          <w:sz w:val="16"/>
          <w:szCs w:val="16"/>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157" w:lineRule="exact"/>
        <w:rPr>
          <w:rFonts w:ascii="Arial" w:cs="Arial" w:eastAsia="Arial" w:hAnsi="Arial"/>
          <w:sz w:val="16"/>
          <w:szCs w:val="16"/>
          <w:color w:val="auto"/>
        </w:rPr>
      </w:pPr>
    </w:p>
    <w:p>
      <w:pPr>
        <w:jc w:val="both"/>
        <w:ind w:right="160" w:firstLine="987"/>
        <w:spacing w:after="0" w:line="293" w:lineRule="auto"/>
        <w:tabs>
          <w:tab w:leader="none" w:pos="137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deliver</w:t>
      </w:r>
      <w:r>
        <w:rPr>
          <w:rFonts w:ascii="Arial" w:cs="Arial" w:eastAsia="Arial" w:hAnsi="Arial"/>
          <w:sz w:val="16"/>
          <w:szCs w:val="16"/>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51" w:name="page352"/>
    <w:bookmarkEnd w:id="351"/>
    <w:p>
      <w:pPr>
        <w:ind w:right="20" w:firstLine="987"/>
        <w:spacing w:after="0" w:line="259" w:lineRule="auto"/>
        <w:tabs>
          <w:tab w:leader="none" w:pos="1368"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w:t>
      </w:r>
      <w:r>
        <w:rPr>
          <w:rFonts w:ascii="Arial" w:cs="Arial" w:eastAsia="Arial" w:hAnsi="Arial"/>
          <w:sz w:val="18"/>
          <w:szCs w:val="18"/>
          <w:u w:val="single" w:color="auto"/>
          <w:color w:val="auto"/>
        </w:rPr>
        <w:t>surrender</w:t>
      </w:r>
      <w:r>
        <w:rPr>
          <w:rFonts w:ascii="Arial" w:cs="Arial" w:eastAsia="Arial" w:hAnsi="Arial"/>
          <w:sz w:val="18"/>
          <w:szCs w:val="18"/>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Deposit Agreement.</w:t>
      </w:r>
    </w:p>
    <w:p>
      <w:pPr>
        <w:spacing w:after="0" w:line="22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as it may be amended from time to time in accordance with the provisions of this Deposit Agreement.</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u w:val="single" w:color="auto"/>
          <w:color w:val="auto"/>
        </w:rPr>
        <w:t>Depositary; Depositary’s Office.</w:t>
      </w:r>
    </w:p>
    <w:p>
      <w:pPr>
        <w:spacing w:after="0" w:line="225" w:lineRule="exact"/>
        <w:rPr>
          <w:sz w:val="20"/>
          <w:szCs w:val="20"/>
          <w:color w:val="auto"/>
        </w:rPr>
      </w:pPr>
    </w:p>
    <w:p>
      <w:pPr>
        <w:ind w:right="340" w:firstLine="991"/>
        <w:spacing w:after="0" w:line="31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Depositary</w:t>
      </w:r>
      <w:r>
        <w:rPr>
          <w:rFonts w:ascii="Arial" w:cs="Arial" w:eastAsia="Arial" w:hAnsi="Arial"/>
          <w:sz w:val="16"/>
          <w:szCs w:val="16"/>
          <w:color w:val="auto"/>
        </w:rPr>
        <w:t>” shall mean The Bank of New York Mellon, a New York banking corporation, and any successor as depositary under this Deposit Agreement. The term “</w:t>
      </w:r>
      <w:r>
        <w:rPr>
          <w:rFonts w:ascii="Arial" w:cs="Arial" w:eastAsia="Arial" w:hAnsi="Arial"/>
          <w:sz w:val="16"/>
          <w:szCs w:val="16"/>
          <w:u w:val="single" w:color="auto"/>
          <w:color w:val="auto"/>
        </w:rPr>
        <w:t>Office</w:t>
      </w:r>
      <w:r>
        <w:rPr>
          <w:rFonts w:ascii="Arial" w:cs="Arial" w:eastAsia="Arial" w:hAnsi="Arial"/>
          <w:sz w:val="16"/>
          <w:szCs w:val="16"/>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149"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Deposited Securities.</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5"/>
          <w:szCs w:val="15"/>
          <w:u w:val="single" w:color="auto"/>
          <w:color w:val="auto"/>
        </w:rPr>
        <w:t>Disseminate.</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Disseminate</w:t>
      </w:r>
      <w:r>
        <w:rPr>
          <w:rFonts w:ascii="Arial" w:cs="Arial" w:eastAsia="Arial" w:hAnsi="Arial"/>
          <w:sz w:val="18"/>
          <w:szCs w:val="18"/>
          <w:color w:val="auto"/>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192"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7"/>
          <w:szCs w:val="17"/>
          <w:u w:val="single" w:color="auto"/>
          <w:color w:val="auto"/>
        </w:rPr>
        <w:t>Dollars.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Dollars</w:t>
      </w:r>
      <w:r>
        <w:rPr>
          <w:rFonts w:ascii="Arial" w:cs="Arial" w:eastAsia="Arial" w:hAnsi="Arial"/>
          <w:sz w:val="18"/>
          <w:szCs w:val="18"/>
          <w:color w:val="auto"/>
        </w:rPr>
        <w:t>” shall mean United States dollars.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352" w:name="page353"/>
    <w:bookmarkEnd w:id="352"/>
    <w:p>
      <w:pPr>
        <w:ind w:left="44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1.11.</w:t>
      </w:r>
      <w:r>
        <w:rPr>
          <w:sz w:val="20"/>
          <w:szCs w:val="20"/>
          <w:color w:val="auto"/>
        </w:rPr>
        <w:tab/>
      </w:r>
      <w:r>
        <w:rPr>
          <w:rFonts w:ascii="Arial" w:cs="Arial" w:eastAsia="Arial" w:hAnsi="Arial"/>
          <w:sz w:val="17"/>
          <w:szCs w:val="17"/>
          <w:u w:val="single" w:color="auto"/>
          <w:color w:val="auto"/>
        </w:rPr>
        <w:t>DTC.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or its successor.</w:t>
      </w:r>
    </w:p>
    <w:p>
      <w:pPr>
        <w:spacing w:after="0" w:line="225"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Foreign Registrar.</w:t>
      </w:r>
    </w:p>
    <w:p>
      <w:pPr>
        <w:spacing w:after="0" w:line="225" w:lineRule="exact"/>
        <w:rPr>
          <w:sz w:val="20"/>
          <w:szCs w:val="20"/>
          <w:color w:val="auto"/>
        </w:rPr>
      </w:pPr>
    </w:p>
    <w:p>
      <w:pPr>
        <w:ind w:right="720" w:firstLine="991"/>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Foreign Registrar</w:t>
      </w:r>
      <w:r>
        <w:rPr>
          <w:rFonts w:ascii="Arial" w:cs="Arial" w:eastAsia="Arial" w:hAnsi="Arial"/>
          <w:sz w:val="17"/>
          <w:szCs w:val="17"/>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146"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Holder.</w:t>
      </w:r>
    </w:p>
    <w:p>
      <w:pPr>
        <w:spacing w:after="0" w:line="225"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Holder</w:t>
      </w:r>
      <w:r>
        <w:rPr>
          <w:rFonts w:ascii="Arial" w:cs="Arial" w:eastAsia="Arial" w:hAnsi="Arial"/>
          <w:sz w:val="16"/>
          <w:szCs w:val="16"/>
          <w:color w:val="auto"/>
        </w:rPr>
        <w:t>”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124"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Owner.</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Owner</w:t>
      </w:r>
      <w:r>
        <w:rPr>
          <w:rFonts w:ascii="Arial" w:cs="Arial" w:eastAsia="Arial" w:hAnsi="Arial"/>
          <w:sz w:val="18"/>
          <w:szCs w:val="18"/>
          <w:color w:val="auto"/>
        </w:rPr>
        <w:t>” shall mean the person in whose name American Depositary Shares are registered on the books of the Depositary maintained for that purpose.</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5"/>
          <w:szCs w:val="15"/>
          <w:u w:val="single" w:color="auto"/>
          <w:color w:val="auto"/>
        </w:rPr>
        <w:t>Receipts.</w:t>
      </w:r>
    </w:p>
    <w:p>
      <w:pPr>
        <w:spacing w:after="0" w:line="225"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Receipts</w:t>
      </w:r>
      <w:r>
        <w:rPr>
          <w:rFonts w:ascii="Arial" w:cs="Arial" w:eastAsia="Arial" w:hAnsi="Arial"/>
          <w:sz w:val="17"/>
          <w:szCs w:val="17"/>
          <w:color w:val="auto"/>
        </w:rPr>
        <w:t>” shall mean the American Depositary Receipts issued under this Deposit Agreement evidencing certificated American Depositary Shares, as the same may be amended from time to time in accordance with the provisions of this Deposit Agreement.</w:t>
      </w:r>
    </w:p>
    <w:p>
      <w:pPr>
        <w:spacing w:after="0" w:line="146"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Registrar.</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any corporation or other entity that is appointed by the Depositary to register American Depositary Shares and transfers of American Depositary Shares as provided in this Deposit Agreement.</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5"/>
          <w:szCs w:val="15"/>
          <w:u w:val="single" w:color="auto"/>
          <w:color w:val="auto"/>
        </w:rPr>
        <w:t>Replacement.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Replacement</w:t>
      </w:r>
      <w:r>
        <w:rPr>
          <w:rFonts w:ascii="Arial" w:cs="Arial" w:eastAsia="Arial" w:hAnsi="Arial"/>
          <w:sz w:val="18"/>
          <w:szCs w:val="18"/>
          <w:color w:val="auto"/>
        </w:rPr>
        <w:t>” shall have the meaning assigned to it in Section 4.8.</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53" w:name="page354"/>
    <w:bookmarkEnd w:id="353"/>
    <w:p>
      <w:pPr>
        <w:ind w:left="44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1.18.</w:t>
      </w:r>
      <w:r>
        <w:rPr>
          <w:sz w:val="20"/>
          <w:szCs w:val="20"/>
          <w:color w:val="auto"/>
        </w:rPr>
        <w:tab/>
      </w:r>
      <w:r>
        <w:rPr>
          <w:rFonts w:ascii="Arial" w:cs="Arial" w:eastAsia="Arial" w:hAnsi="Arial"/>
          <w:sz w:val="16"/>
          <w:szCs w:val="16"/>
          <w:u w:val="single" w:color="auto"/>
          <w:color w:val="auto"/>
        </w:rPr>
        <w:t>Restricted Securities.</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Cayman Islands, a shareholder agreement or the articles of association or similar document of the Company.</w:t>
      </w:r>
    </w:p>
    <w:p>
      <w:pPr>
        <w:spacing w:after="0" w:line="176"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Securities Act of 1933.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shall mean the United States Securities Act of 1933, as from time to time amended.</w:t>
      </w:r>
    </w:p>
    <w:p>
      <w:pPr>
        <w:spacing w:after="0" w:line="225"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1.20.</w:t>
      </w:r>
      <w:r>
        <w:rPr>
          <w:sz w:val="20"/>
          <w:szCs w:val="20"/>
          <w:color w:val="auto"/>
        </w:rPr>
        <w:tab/>
      </w:r>
      <w:r>
        <w:rPr>
          <w:rFonts w:ascii="Arial" w:cs="Arial" w:eastAsia="Arial" w:hAnsi="Arial"/>
          <w:sz w:val="15"/>
          <w:szCs w:val="15"/>
          <w:u w:val="single" w:color="auto"/>
          <w:color w:val="auto"/>
        </w:rPr>
        <w:t>Shares.</w:t>
      </w:r>
    </w:p>
    <w:p>
      <w:pPr>
        <w:spacing w:after="0" w:line="225"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mean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161"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u w:val="single" w:color="auto"/>
          <w:color w:val="auto"/>
        </w:rPr>
        <w:t>SWIFT.</w:t>
      </w:r>
    </w:p>
    <w:p>
      <w:pPr>
        <w:spacing w:after="0" w:line="225" w:lineRule="exact"/>
        <w:rPr>
          <w:sz w:val="20"/>
          <w:szCs w:val="20"/>
          <w:color w:val="auto"/>
        </w:rPr>
      </w:pPr>
    </w:p>
    <w:p>
      <w:pPr>
        <w:ind w:right="1120" w:firstLine="99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SWIFT</w:t>
      </w:r>
      <w:r>
        <w:rPr>
          <w:rFonts w:ascii="Arial" w:cs="Arial" w:eastAsia="Arial" w:hAnsi="Arial"/>
          <w:sz w:val="18"/>
          <w:szCs w:val="18"/>
          <w:color w:val="auto"/>
        </w:rPr>
        <w:t>” shall mean the financial messaging network operated by the Society for Worldwide Interbank Financial Telecommunication, or its successor.</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Termination Option Event.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shall mean any of the following events or conditions:</w:t>
      </w:r>
    </w:p>
    <w:p>
      <w:pPr>
        <w:spacing w:after="0" w:line="117" w:lineRule="exact"/>
        <w:rPr>
          <w:sz w:val="20"/>
          <w:szCs w:val="20"/>
          <w:color w:val="auto"/>
        </w:rPr>
      </w:pPr>
    </w:p>
    <w:p>
      <w:pPr>
        <w:ind w:right="20" w:firstLine="987"/>
        <w:spacing w:after="0" w:line="275" w:lineRule="auto"/>
        <w:tabs>
          <w:tab w:leader="none" w:pos="134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54" w:name="page355"/>
    <w:bookmarkEnd w:id="354"/>
    <w:p>
      <w:pPr>
        <w:ind w:firstLine="987"/>
        <w:spacing w:after="0" w:line="277" w:lineRule="auto"/>
        <w:tabs>
          <w:tab w:leader="none" w:pos="1391"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are delisted, or the Company announces its intention to delist the Shares, from a stock exchange outside the United States, and the Company has not applied to list the Shares on any other stock exchange outside the United States;</w:t>
      </w:r>
    </w:p>
    <w:p>
      <w:pPr>
        <w:spacing w:after="0" w:line="170" w:lineRule="exact"/>
        <w:rPr>
          <w:rFonts w:ascii="Arial" w:cs="Arial" w:eastAsia="Arial" w:hAnsi="Arial"/>
          <w:sz w:val="18"/>
          <w:szCs w:val="18"/>
          <w:color w:val="auto"/>
        </w:rPr>
      </w:pPr>
    </w:p>
    <w:p>
      <w:pPr>
        <w:jc w:val="both"/>
        <w:ind w:right="60" w:firstLine="987"/>
        <w:spacing w:after="0" w:line="286" w:lineRule="auto"/>
        <w:tabs>
          <w:tab w:leader="none" w:pos="144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w:t>
      </w:r>
    </w:p>
    <w:p>
      <w:pPr>
        <w:spacing w:after="0" w:line="165" w:lineRule="exact"/>
        <w:rPr>
          <w:rFonts w:ascii="Arial" w:cs="Arial" w:eastAsia="Arial" w:hAnsi="Arial"/>
          <w:sz w:val="17"/>
          <w:szCs w:val="17"/>
          <w:color w:val="auto"/>
        </w:rPr>
      </w:pPr>
    </w:p>
    <w:p>
      <w:pPr>
        <w:ind w:right="280" w:firstLine="987"/>
        <w:spacing w:after="0" w:line="308" w:lineRule="auto"/>
        <w:tabs>
          <w:tab w:leader="none" w:pos="143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Depositary has received notice of facts that indicate, or otherwise has reason to believe, that the American Depositary Shares have become, or with the passage of time will become, ineligible for registration on Form F-6 under the Securities Act of 1933; or</w:t>
      </w:r>
    </w:p>
    <w:p>
      <w:pPr>
        <w:spacing w:after="0" w:line="146" w:lineRule="exact"/>
        <w:rPr>
          <w:rFonts w:ascii="Arial" w:cs="Arial" w:eastAsia="Arial" w:hAnsi="Arial"/>
          <w:sz w:val="17"/>
          <w:szCs w:val="17"/>
          <w:color w:val="auto"/>
        </w:rPr>
      </w:pPr>
    </w:p>
    <w:p>
      <w:pPr>
        <w:ind w:left="1380" w:hanging="393"/>
        <w:spacing w:after="0"/>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an event or condition that is defined as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xml:space="preserve"> in Section 4.1, 4.2 or 4.8.</w:t>
      </w:r>
    </w:p>
    <w:p>
      <w:pPr>
        <w:spacing w:after="0" w:line="252" w:lineRule="exact"/>
        <w:rPr>
          <w:sz w:val="20"/>
          <w:szCs w:val="20"/>
          <w:color w:val="auto"/>
        </w:rPr>
      </w:pPr>
    </w:p>
    <w:p>
      <w:pPr>
        <w:ind w:left="1300" w:right="220" w:hanging="1308"/>
        <w:spacing w:after="0" w:line="277" w:lineRule="auto"/>
        <w:tabs>
          <w:tab w:leader="none" w:pos="128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8"/>
          <w:szCs w:val="18"/>
          <w:color w:val="auto"/>
        </w:rPr>
        <w:t>FORM OF RECEIPTS, DEPOSIT OF SHARES, DELIVERY, TRANSFER AND SURRENDER OF AMERICAN DEPOSITARY SHARES</w:t>
      </w:r>
    </w:p>
    <w:p>
      <w:pPr>
        <w:spacing w:after="0" w:line="62"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Form of Receipts; Registration and Transferability of American Depositary Shares.</w:t>
      </w:r>
    </w:p>
    <w:p>
      <w:pPr>
        <w:spacing w:after="0" w:line="225"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355" w:name="page356"/>
    <w:bookmarkEnd w:id="355"/>
    <w:p>
      <w:pPr>
        <w:ind w:right="6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Receipts and statements confirming registration of American Depositary Shares may have incorporated in or attached to them such legends or recitals or modifications not inconsistent with the provisions of this Deposit Agreement as may be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6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17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Deposit of Shares.</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84"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As conditions of accepting Shares for deposit, the Depositary may require (i) any certification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56" w:name="page357"/>
    <w:bookmarkEnd w:id="356"/>
    <w:p>
      <w:pPr>
        <w:jc w:val="both"/>
        <w:ind w:right="4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refuse, and shall instruct the Custodian to refuse, to accept Shares for deposit if the Depositary has received a written notice from the Company that the Company has restricted transfer of those Shares under the Company’s articles of association or any applicable laws or that the deposit would result in any violation of the Company’s articles of association or any applicable laws.</w:t>
      </w:r>
    </w:p>
    <w:p>
      <w:pPr>
        <w:spacing w:after="0" w:line="16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84" w:lineRule="exact"/>
        <w:rPr>
          <w:sz w:val="20"/>
          <w:szCs w:val="20"/>
          <w:color w:val="auto"/>
        </w:rPr>
      </w:pPr>
    </w:p>
    <w:p>
      <w:pPr>
        <w:ind w:right="360" w:firstLine="991"/>
        <w:spacing w:after="0" w:line="301" w:lineRule="auto"/>
        <w:rPr>
          <w:sz w:val="20"/>
          <w:szCs w:val="20"/>
          <w:color w:val="auto"/>
        </w:rPr>
      </w:pPr>
      <w:r>
        <w:rPr>
          <w:rFonts w:ascii="Arial" w:cs="Arial" w:eastAsia="Arial" w:hAnsi="Arial"/>
          <w:sz w:val="16"/>
          <w:szCs w:val="16"/>
          <w:color w:val="auto"/>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5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Deposited Securities shall be held by the Depositary or by a Custodian for the account and to the order of the Depositary or at such other place or places as the Depositary shall determine.</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Delivery of American Depositary Shares.</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6"/>
          <w:szCs w:val="16"/>
          <w:u w:val="single" w:color="auto"/>
          <w:color w:val="auto"/>
        </w:rPr>
        <w:t>However</w:t>
      </w:r>
      <w:r>
        <w:rPr>
          <w:rFonts w:ascii="Arial" w:cs="Arial" w:eastAsia="Arial" w:hAnsi="Arial"/>
          <w:sz w:val="16"/>
          <w:szCs w:val="16"/>
          <w:color w:val="auto"/>
        </w:rPr>
        <w:t>, the Depositary shall deliver only whole numbers of American Depositary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57" w:name="page358"/>
    <w:bookmarkEnd w:id="357"/>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Registration of Transfer of American Depositary Shares; Combination and Split-up of Receipts; Interchange of Certificated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Uncertificated American Depositary Shares.</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95"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164"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40" w:top="274" w:right="559" w:bottom="1440" w:gutter="0" w:footer="0" w:header="0"/>
        </w:sectPr>
      </w:pPr>
    </w:p>
    <w:bookmarkStart w:id="358" w:name="page359"/>
    <w:bookmarkEnd w:id="358"/>
    <w:p>
      <w:pPr>
        <w:ind w:left="444"/>
        <w:spacing w:after="0"/>
        <w:tabs>
          <w:tab w:leader="none" w:pos="16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2.5.</w:t>
      </w:r>
      <w:r>
        <w:rPr>
          <w:sz w:val="20"/>
          <w:szCs w:val="20"/>
          <w:color w:val="auto"/>
        </w:rPr>
        <w:tab/>
      </w:r>
      <w:r>
        <w:rPr>
          <w:rFonts w:ascii="Arial" w:cs="Arial" w:eastAsia="Arial" w:hAnsi="Arial"/>
          <w:sz w:val="16"/>
          <w:szCs w:val="16"/>
          <w:u w:val="single" w:color="auto"/>
          <w:color w:val="auto"/>
        </w:rPr>
        <w:t>Surrender of American Depositary Shares and Withdrawal of Deposited Securities.</w:t>
      </w:r>
    </w:p>
    <w:p>
      <w:pPr>
        <w:spacing w:after="0" w:line="225" w:lineRule="exact"/>
        <w:rPr>
          <w:sz w:val="20"/>
          <w:szCs w:val="20"/>
          <w:color w:val="auto"/>
        </w:rPr>
      </w:pPr>
    </w:p>
    <w:p>
      <w:pPr>
        <w:ind w:left="4" w:right="120" w:firstLine="991"/>
        <w:spacing w:after="0" w:line="270"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81"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w:t>
      </w:r>
    </w:p>
    <w:p>
      <w:pPr>
        <w:ind w:left="4" w:right="240" w:hanging="4"/>
        <w:spacing w:after="0" w:line="260" w:lineRule="auto"/>
        <w:tabs>
          <w:tab w:leader="none" w:pos="26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85"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88"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8"/>
          <w:szCs w:val="18"/>
          <w:u w:val="single" w:color="auto"/>
          <w:color w:val="auto"/>
        </w:rPr>
        <w:t>except that</w:t>
      </w:r>
      <w:r>
        <w:rPr>
          <w:rFonts w:ascii="Arial" w:cs="Arial" w:eastAsia="Arial" w:hAnsi="Arial"/>
          <w:sz w:val="18"/>
          <w:szCs w:val="18"/>
          <w:color w:val="auto"/>
        </w:rPr>
        <w:t>,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59" w:name="page360"/>
    <w:bookmarkEnd w:id="359"/>
    <w:p>
      <w:pPr>
        <w:ind w:left="444"/>
        <w:spacing w:after="0"/>
        <w:tabs>
          <w:tab w:leader="none" w:pos="16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2.6.</w:t>
      </w:r>
      <w:r>
        <w:rPr>
          <w:sz w:val="20"/>
          <w:szCs w:val="20"/>
          <w:color w:val="auto"/>
        </w:rPr>
        <w:tab/>
      </w:r>
      <w:r>
        <w:rPr>
          <w:rFonts w:ascii="Arial" w:cs="Arial" w:eastAsia="Arial" w:hAnsi="Arial"/>
          <w:sz w:val="16"/>
          <w:szCs w:val="16"/>
          <w:u w:val="single" w:color="auto"/>
          <w:color w:val="auto"/>
        </w:rPr>
        <w:t>Limitations on Delivery, Registration of Transfer and Surrender of American Depositary Shares.</w:t>
      </w:r>
    </w:p>
    <w:p>
      <w:pPr>
        <w:spacing w:after="0" w:line="225"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66"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6"/>
          <w:szCs w:val="16"/>
          <w:u w:val="single" w:color="auto"/>
          <w:color w:val="auto"/>
        </w:rPr>
        <w:t>but, notwithstanding anything to the contrary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this Deposit Agreement, only for</w:t>
      </w:r>
      <w:r>
        <w:rPr>
          <w:rFonts w:ascii="Arial" w:cs="Arial" w:eastAsia="Arial" w:hAnsi="Arial"/>
          <w:sz w:val="16"/>
          <w:szCs w:val="16"/>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4" w:lineRule="exact"/>
        <w:rPr>
          <w:sz w:val="20"/>
          <w:szCs w:val="20"/>
          <w:color w:val="auto"/>
        </w:rPr>
      </w:pPr>
    </w:p>
    <w:p>
      <w:pPr>
        <w:jc w:val="both"/>
        <w:ind w:left="4" w:right="120" w:hanging="4"/>
        <w:spacing w:after="0" w:line="255" w:lineRule="auto"/>
        <w:tabs>
          <w:tab w:leader="none" w:pos="26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Depositary shall not knowingly accept for deposit under this Deposit Agreement any Shares that, at the time of deposit, are Restricted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444"/>
        <w:spacing w:after="0"/>
        <w:tabs>
          <w:tab w:leader="none" w:pos="1684"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Lost Receipts, etc.</w:t>
      </w:r>
    </w:p>
    <w:p>
      <w:pPr>
        <w:spacing w:after="0" w:line="225" w:lineRule="exact"/>
        <w:rPr>
          <w:sz w:val="20"/>
          <w:szCs w:val="20"/>
          <w:color w:val="auto"/>
        </w:rPr>
      </w:pPr>
    </w:p>
    <w:p>
      <w:pPr>
        <w:ind w:left="4" w:right="20" w:firstLine="991"/>
        <w:spacing w:after="0" w:line="254" w:lineRule="auto"/>
        <w:rPr>
          <w:sz w:val="20"/>
          <w:szCs w:val="20"/>
          <w:color w:val="auto"/>
        </w:rPr>
      </w:pPr>
      <w:r>
        <w:rPr>
          <w:rFonts w:ascii="Arial" w:cs="Arial" w:eastAsia="Arial" w:hAnsi="Arial"/>
          <w:sz w:val="18"/>
          <w:szCs w:val="18"/>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18"/>
          <w:szCs w:val="18"/>
          <w:u w:val="single" w:color="auto"/>
          <w:color w:val="auto"/>
        </w:rPr>
        <w:t>However</w:t>
      </w:r>
      <w:r>
        <w:rPr>
          <w:rFonts w:ascii="Arial" w:cs="Arial" w:eastAsia="Arial" w:hAnsi="Arial"/>
          <w:sz w:val="18"/>
          <w:szCs w:val="18"/>
          <w:color w:val="auto"/>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60" w:name="page361"/>
    <w:bookmarkEnd w:id="360"/>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2.8.</w:t>
      </w:r>
      <w:r>
        <w:rPr>
          <w:sz w:val="20"/>
          <w:szCs w:val="20"/>
          <w:color w:val="auto"/>
        </w:rPr>
        <w:tab/>
      </w:r>
      <w:r>
        <w:rPr>
          <w:rFonts w:ascii="Arial" w:cs="Arial" w:eastAsia="Arial" w:hAnsi="Arial"/>
          <w:sz w:val="16"/>
          <w:szCs w:val="16"/>
          <w:u w:val="single" w:color="auto"/>
          <w:color w:val="auto"/>
        </w:rPr>
        <w:t>Cancellation and Destruction of Surrendered Receipts.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Depositary shall cancel all Receipts surrendered to it and is authorized to destroy Receipts so cancelled.</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DTC Direct Registration System and Profile Modification System.</w:t>
      </w:r>
    </w:p>
    <w:p>
      <w:pPr>
        <w:spacing w:after="0" w:line="225" w:lineRule="exact"/>
        <w:rPr>
          <w:sz w:val="20"/>
          <w:szCs w:val="20"/>
          <w:color w:val="auto"/>
        </w:rPr>
      </w:pPr>
    </w:p>
    <w:p>
      <w:pPr>
        <w:ind w:right="60" w:firstLine="987"/>
        <w:spacing w:after="0" w:line="254" w:lineRule="auto"/>
        <w:tabs>
          <w:tab w:leader="none" w:pos="137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Notwithstanding the provisions of Section 2.4,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94" w:lineRule="exact"/>
        <w:rPr>
          <w:rFonts w:ascii="Arial" w:cs="Arial" w:eastAsia="Arial" w:hAnsi="Arial"/>
          <w:sz w:val="18"/>
          <w:szCs w:val="18"/>
          <w:color w:val="auto"/>
        </w:rPr>
      </w:pPr>
    </w:p>
    <w:p>
      <w:pPr>
        <w:ind w:firstLine="987"/>
        <w:spacing w:after="0" w:line="273" w:lineRule="auto"/>
        <w:tabs>
          <w:tab w:leader="none" w:pos="138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7"/>
          <w:szCs w:val="17"/>
          <w:color w:val="auto"/>
        </w:rPr>
        <w:t>CERTAIN OBLIGATIONS OF OWNERS AND HOLDERS OF AMERICAN DEPOSITARY SHARES</w:t>
      </w:r>
    </w:p>
    <w:p>
      <w:pPr>
        <w:spacing w:after="0" w:line="117" w:lineRule="exact"/>
        <w:rPr>
          <w:sz w:val="20"/>
          <w:szCs w:val="20"/>
          <w:color w:val="auto"/>
        </w:rPr>
      </w:pPr>
    </w:p>
    <w:p>
      <w:pPr>
        <w:ind w:left="860"/>
        <w:spacing w:after="0"/>
        <w:tabs>
          <w:tab w:leader="none" w:pos="210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Filing Proofs, Certificates and Other Information.</w:t>
      </w:r>
    </w:p>
    <w:p>
      <w:pPr>
        <w:spacing w:after="0" w:line="225"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or as the Company may reasonably require by written request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which the Depositary receives pursuant to this Section, to the extent that the requested disclosure is permitted under applicable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61" w:name="page362"/>
    <w:bookmarkEnd w:id="361"/>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3.2.</w:t>
      </w:r>
      <w:r>
        <w:rPr>
          <w:sz w:val="20"/>
          <w:szCs w:val="20"/>
          <w:color w:val="auto"/>
        </w:rPr>
        <w:tab/>
      </w:r>
      <w:r>
        <w:rPr>
          <w:rFonts w:ascii="Arial" w:cs="Arial" w:eastAsia="Arial" w:hAnsi="Arial"/>
          <w:sz w:val="16"/>
          <w:szCs w:val="16"/>
          <w:u w:val="single" w:color="auto"/>
          <w:color w:val="auto"/>
        </w:rPr>
        <w:t>Liability of Owner for Taxes.</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6"/>
          <w:szCs w:val="16"/>
          <w:u w:val="single" w:color="auto"/>
          <w:color w:val="auto"/>
        </w:rPr>
        <w:t>but</w:t>
      </w:r>
      <w:r>
        <w:rPr>
          <w:rFonts w:ascii="Arial" w:cs="Arial" w:eastAsia="Arial" w:hAnsi="Arial"/>
          <w:sz w:val="16"/>
          <w:szCs w:val="16"/>
          <w:color w:val="auto"/>
        </w:rPr>
        <w:t>,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74"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Warranties on Deposit of Shares.</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62" w:name="page363"/>
    <w:bookmarkEnd w:id="362"/>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3.4.</w:t>
      </w:r>
      <w:r>
        <w:rPr>
          <w:sz w:val="20"/>
          <w:szCs w:val="20"/>
          <w:color w:val="auto"/>
        </w:rPr>
        <w:tab/>
      </w:r>
      <w:r>
        <w:rPr>
          <w:rFonts w:ascii="Arial" w:cs="Arial" w:eastAsia="Arial" w:hAnsi="Arial"/>
          <w:sz w:val="16"/>
          <w:szCs w:val="16"/>
          <w:u w:val="single" w:color="auto"/>
          <w:color w:val="auto"/>
        </w:rPr>
        <w:t>Disclosure of Interests.</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293" w:lineRule="exact"/>
        <w:rPr>
          <w:sz w:val="20"/>
          <w:szCs w:val="20"/>
          <w:color w:val="auto"/>
        </w:rPr>
      </w:pPr>
    </w:p>
    <w:p>
      <w:pPr>
        <w:jc w:val="right"/>
        <w:ind w:right="7440"/>
        <w:spacing w:after="0"/>
        <w:tabs>
          <w:tab w:leader="none" w:pos="986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7"/>
          <w:szCs w:val="17"/>
          <w:color w:val="auto"/>
        </w:rPr>
        <w:t>THE DEPOSITED SECURITIES</w:t>
      </w:r>
    </w:p>
    <w:p>
      <w:pPr>
        <w:spacing w:after="0" w:line="117" w:lineRule="exact"/>
        <w:rPr>
          <w:sz w:val="20"/>
          <w:szCs w:val="20"/>
          <w:color w:val="auto"/>
        </w:rPr>
      </w:pPr>
    </w:p>
    <w:p>
      <w:pPr>
        <w:jc w:val="right"/>
        <w:ind w:right="7480"/>
        <w:spacing w:after="0"/>
        <w:tabs>
          <w:tab w:leader="none" w:pos="88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Cash Distributions.</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7"/>
          <w:szCs w:val="17"/>
          <w:u w:val="single" w:color="auto"/>
          <w:color w:val="auto"/>
        </w:rPr>
        <w:t>However</w:t>
      </w:r>
      <w:r>
        <w:rPr>
          <w:rFonts w:ascii="Arial" w:cs="Arial" w:eastAsia="Arial" w:hAnsi="Arial"/>
          <w:sz w:val="17"/>
          <w:szCs w:val="17"/>
          <w:color w:val="auto"/>
        </w:rPr>
        <w:t>, the Depositary will not pay any Owner a fraction of one cent, but will round each Owner’s entitlement to the nearest whole cent.</w:t>
      </w:r>
    </w:p>
    <w:p>
      <w:pPr>
        <w:spacing w:after="0" w:line="177"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The Company or its agent will remit to the appropriate governmental agency in each applicable jurisdiction all amounts withheld and owing to such agency.</w:t>
      </w:r>
    </w:p>
    <w:p>
      <w:pPr>
        <w:spacing w:after="0" w:line="170"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If a cash distribution would represent a return of all or substantially all the value of the Deposited Securities underlying American Depositary Shares, the Depositary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63" w:name="page364"/>
    <w:bookmarkEnd w:id="363"/>
    <w:p>
      <w:pPr>
        <w:ind w:firstLine="1428"/>
        <w:spacing w:after="0" w:line="277" w:lineRule="auto"/>
        <w:tabs>
          <w:tab w:leader="none" w:pos="16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 payment of or deduct the fee for surrender of American Depositary Shares (whether or not it is also requiring surrender of American Depositary Shares) as a condition of making that cash distribution; or</w:t>
      </w:r>
    </w:p>
    <w:p>
      <w:pPr>
        <w:spacing w:after="0" w:line="170" w:lineRule="exact"/>
        <w:rPr>
          <w:rFonts w:ascii="Arial" w:cs="Arial" w:eastAsia="Arial" w:hAnsi="Arial"/>
          <w:sz w:val="18"/>
          <w:szCs w:val="18"/>
          <w:color w:val="auto"/>
        </w:rPr>
      </w:pPr>
    </w:p>
    <w:p>
      <w:pPr>
        <w:jc w:val="both"/>
        <w:ind w:right="540" w:firstLine="1428"/>
        <w:spacing w:after="0" w:line="342" w:lineRule="auto"/>
        <w:tabs>
          <w:tab w:leader="none" w:pos="169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Distributions Other Than Cash, Shares or Rights.</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deems equitable and practicable for accomplishing that distribution (which may be a distribution of depositary shares representing the securities received); provided, however,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7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If a distribution to be made under this Section 4.2 would represent a return of all or substantially all the value of the Deposited Securities underlying American Depositary Shares, the Depositary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64" w:name="page365"/>
    <w:bookmarkEnd w:id="364"/>
    <w:p>
      <w:pPr>
        <w:ind w:right="20" w:firstLine="1428"/>
        <w:spacing w:after="0" w:line="277" w:lineRule="auto"/>
        <w:tabs>
          <w:tab w:leader="none" w:pos="16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 payment of or deduct the fee for surrender of American Depositary Shares (whether or not it is also requiring surrender of American Depositary Shares) as a condition of making that distribution; or</w:t>
      </w:r>
    </w:p>
    <w:p>
      <w:pPr>
        <w:spacing w:after="0" w:line="170" w:lineRule="exact"/>
        <w:rPr>
          <w:rFonts w:ascii="Arial" w:cs="Arial" w:eastAsia="Arial" w:hAnsi="Arial"/>
          <w:sz w:val="18"/>
          <w:szCs w:val="18"/>
          <w:color w:val="auto"/>
        </w:rPr>
      </w:pPr>
    </w:p>
    <w:p>
      <w:pPr>
        <w:ind w:right="100" w:firstLine="1428"/>
        <w:spacing w:after="0" w:line="308" w:lineRule="auto"/>
        <w:tabs>
          <w:tab w:leader="none" w:pos="169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Distributions in Shares.</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Whenever the Depositary receives any distribution on Deposited Securities consisting of a dividend in, or free distribution of, Shares, the Depositary may, and if the Company so requests in writing,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72"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65" w:name="page366"/>
    <w:bookmarkEnd w:id="365"/>
    <w:p>
      <w:pPr>
        <w:ind w:left="42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4.4.</w:t>
      </w:r>
      <w:r>
        <w:rPr>
          <w:sz w:val="20"/>
          <w:szCs w:val="20"/>
          <w:color w:val="auto"/>
        </w:rPr>
        <w:tab/>
      </w:r>
      <w:r>
        <w:rPr>
          <w:rFonts w:ascii="Arial" w:cs="Arial" w:eastAsia="Arial" w:hAnsi="Arial"/>
          <w:sz w:val="16"/>
          <w:szCs w:val="16"/>
          <w:u w:val="single" w:color="auto"/>
          <w:color w:val="auto"/>
        </w:rPr>
        <w:t>Rights.</w:t>
      </w:r>
    </w:p>
    <w:p>
      <w:pPr>
        <w:spacing w:after="0" w:line="225" w:lineRule="exact"/>
        <w:rPr>
          <w:sz w:val="20"/>
          <w:szCs w:val="20"/>
          <w:color w:val="auto"/>
        </w:rPr>
      </w:pPr>
    </w:p>
    <w:p>
      <w:pPr>
        <w:ind w:left="-20" w:right="100" w:firstLine="987"/>
        <w:spacing w:after="0" w:line="272" w:lineRule="auto"/>
        <w:tabs>
          <w:tab w:leader="none" w:pos="135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77" w:lineRule="exact"/>
        <w:rPr>
          <w:rFonts w:ascii="Arial" w:cs="Arial" w:eastAsia="Arial" w:hAnsi="Arial"/>
          <w:sz w:val="17"/>
          <w:szCs w:val="17"/>
          <w:color w:val="auto"/>
        </w:rPr>
      </w:pPr>
    </w:p>
    <w:p>
      <w:pPr>
        <w:ind w:left="-20" w:right="40" w:firstLine="987"/>
        <w:spacing w:after="0" w:line="269" w:lineRule="auto"/>
        <w:tabs>
          <w:tab w:leader="none" w:pos="136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 For the avoidance of doubt, nothing in this Deposit Agreement shall create any obligation on the part of the Company to file a registration statement with respect to rights or the underlying securities or to endeavor to have such a registration statement declared effective.</w:t>
      </w:r>
    </w:p>
    <w:p>
      <w:pPr>
        <w:spacing w:after="0" w:line="181" w:lineRule="exact"/>
        <w:rPr>
          <w:rFonts w:ascii="Arial" w:cs="Arial" w:eastAsia="Arial" w:hAnsi="Arial"/>
          <w:sz w:val="17"/>
          <w:szCs w:val="17"/>
          <w:color w:val="auto"/>
        </w:rPr>
      </w:pPr>
    </w:p>
    <w:p>
      <w:pPr>
        <w:ind w:left="-20" w:firstLine="987"/>
        <w:spacing w:after="0" w:line="301" w:lineRule="auto"/>
        <w:tabs>
          <w:tab w:leader="none" w:pos="135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366" w:name="page367"/>
    <w:bookmarkEnd w:id="366"/>
    <w:p>
      <w:pPr>
        <w:ind w:right="60" w:firstLine="987"/>
        <w:spacing w:after="0" w:line="259" w:lineRule="auto"/>
        <w:tabs>
          <w:tab w:leader="none" w:pos="1381"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ind w:right="160" w:firstLine="987"/>
        <w:spacing w:after="0" w:line="263" w:lineRule="auto"/>
        <w:tabs>
          <w:tab w:leader="none" w:pos="137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83" w:lineRule="exact"/>
        <w:rPr>
          <w:rFonts w:ascii="Arial" w:cs="Arial" w:eastAsia="Arial" w:hAnsi="Arial"/>
          <w:sz w:val="18"/>
          <w:szCs w:val="18"/>
          <w:color w:val="auto"/>
        </w:rPr>
      </w:pPr>
    </w:p>
    <w:p>
      <w:pPr>
        <w:ind w:right="300" w:firstLine="987"/>
        <w:spacing w:after="0" w:line="277" w:lineRule="auto"/>
        <w:tabs>
          <w:tab w:leader="none" w:pos="134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or to sell rights.</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Conversion of Foreign Currency.</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66" w:lineRule="exact"/>
        <w:rPr>
          <w:sz w:val="20"/>
          <w:szCs w:val="20"/>
          <w:color w:val="auto"/>
        </w:rPr>
      </w:pPr>
    </w:p>
    <w:p>
      <w:pPr>
        <w:ind w:right="280" w:firstLine="991"/>
        <w:spacing w:after="0" w:line="308" w:lineRule="auto"/>
        <w:rPr>
          <w:sz w:val="20"/>
          <w:szCs w:val="20"/>
          <w:color w:val="auto"/>
        </w:rPr>
      </w:pPr>
      <w:r>
        <w:rPr>
          <w:rFonts w:ascii="Arial" w:cs="Arial" w:eastAsia="Arial" w:hAnsi="Arial"/>
          <w:sz w:val="17"/>
          <w:szCs w:val="17"/>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6"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67" w:name="page368"/>
    <w:bookmarkEnd w:id="367"/>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76"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Fixing of Record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68" w:name="page369"/>
    <w:bookmarkEnd w:id="368"/>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171" w:lineRule="exact"/>
        <w:rPr>
          <w:sz w:val="20"/>
          <w:szCs w:val="20"/>
          <w:color w:val="auto"/>
        </w:rPr>
      </w:pPr>
    </w:p>
    <w:p>
      <w:pPr>
        <w:ind w:left="444"/>
        <w:spacing w:after="0"/>
        <w:tabs>
          <w:tab w:leader="none" w:pos="1684"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Voting of Deposited Shares.</w:t>
      </w:r>
    </w:p>
    <w:p>
      <w:pPr>
        <w:spacing w:after="0" w:line="225" w:lineRule="exact"/>
        <w:rPr>
          <w:sz w:val="20"/>
          <w:szCs w:val="20"/>
          <w:color w:val="auto"/>
        </w:rPr>
      </w:pPr>
    </w:p>
    <w:p>
      <w:pPr>
        <w:ind w:left="4" w:right="80" w:firstLine="987"/>
        <w:spacing w:after="0" w:line="284" w:lineRule="auto"/>
        <w:tabs>
          <w:tab w:leader="none" w:pos="1375" w:val="left"/>
        </w:tabs>
        <w:numPr>
          <w:ilvl w:val="1"/>
          <w:numId w:val="257"/>
        </w:numPr>
        <w:rPr>
          <w:rFonts w:ascii="Arial" w:cs="Arial" w:eastAsia="Arial" w:hAnsi="Arial"/>
          <w:sz w:val="16"/>
          <w:szCs w:val="16"/>
          <w:color w:val="auto"/>
        </w:rPr>
      </w:pPr>
      <w:r>
        <w:rPr>
          <w:rFonts w:ascii="Arial" w:cs="Arial" w:eastAsia="Arial" w:hAnsi="Arial"/>
          <w:sz w:val="16"/>
          <w:szCs w:val="16"/>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Cayman Islands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w:t>
      </w:r>
    </w:p>
    <w:p>
      <w:pPr>
        <w:spacing w:after="0" w:line="4" w:lineRule="exact"/>
        <w:rPr>
          <w:rFonts w:ascii="Arial" w:cs="Arial" w:eastAsia="Arial" w:hAnsi="Arial"/>
          <w:sz w:val="16"/>
          <w:szCs w:val="16"/>
          <w:color w:val="auto"/>
        </w:rPr>
      </w:pPr>
    </w:p>
    <w:p>
      <w:pPr>
        <w:ind w:left="304" w:hanging="304"/>
        <w:spacing w:after="0"/>
        <w:tabs>
          <w:tab w:leader="none" w:pos="30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last date on which the Depositary will accept instructions (the “</w:t>
      </w:r>
      <w:r>
        <w:rPr>
          <w:rFonts w:ascii="Arial" w:cs="Arial" w:eastAsia="Arial" w:hAnsi="Arial"/>
          <w:sz w:val="18"/>
          <w:szCs w:val="18"/>
          <w:u w:val="single" w:color="auto"/>
          <w:color w:val="auto"/>
        </w:rPr>
        <w:t>Instruction Cutoff Date</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 w:right="20" w:firstLine="987"/>
        <w:spacing w:after="0" w:line="255" w:lineRule="auto"/>
        <w:tabs>
          <w:tab w:leader="none" w:pos="138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92" w:lineRule="exact"/>
        <w:rPr>
          <w:rFonts w:ascii="Arial" w:cs="Arial" w:eastAsia="Arial" w:hAnsi="Arial"/>
          <w:sz w:val="18"/>
          <w:szCs w:val="18"/>
          <w:color w:val="auto"/>
        </w:rPr>
      </w:pPr>
    </w:p>
    <w:p>
      <w:pPr>
        <w:ind w:left="4" w:right="100" w:firstLine="987"/>
        <w:spacing w:after="0" w:line="277" w:lineRule="auto"/>
        <w:tabs>
          <w:tab w:leader="none" w:pos="137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There can be no assurance that Owners generally or any Owner in particular will receive the notice described in paragraph (a) above in time to enable Owners to give instructions to the Depositary prior to the Instruction Cutoff Date.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69" w:name="page370"/>
    <w:bookmarkEnd w:id="369"/>
    <w:p>
      <w:pPr>
        <w:ind w:left="4" w:firstLine="987"/>
        <w:spacing w:after="0" w:line="259" w:lineRule="auto"/>
        <w:tabs>
          <w:tab w:leader="none" w:pos="1385"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pacing w:after="0" w:line="187" w:lineRule="exact"/>
        <w:rPr>
          <w:sz w:val="20"/>
          <w:szCs w:val="20"/>
          <w:color w:val="auto"/>
        </w:rPr>
      </w:pPr>
    </w:p>
    <w:p>
      <w:pPr>
        <w:ind w:left="444"/>
        <w:spacing w:after="0"/>
        <w:tabs>
          <w:tab w:leader="none" w:pos="1684"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u w:val="single" w:color="auto"/>
          <w:color w:val="auto"/>
        </w:rPr>
        <w:t>Tender and Exchange Offers; Redemption, Replacement or Cancellation of Deposited Securities.</w:t>
      </w:r>
    </w:p>
    <w:p>
      <w:pPr>
        <w:spacing w:after="0" w:line="225" w:lineRule="exact"/>
        <w:rPr>
          <w:sz w:val="20"/>
          <w:szCs w:val="20"/>
          <w:color w:val="auto"/>
        </w:rPr>
      </w:pPr>
    </w:p>
    <w:p>
      <w:pPr>
        <w:jc w:val="both"/>
        <w:ind w:left="4" w:right="300" w:firstLine="987"/>
        <w:spacing w:after="0" w:line="263" w:lineRule="auto"/>
        <w:tabs>
          <w:tab w:leader="none" w:pos="137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3" w:lineRule="exact"/>
        <w:rPr>
          <w:rFonts w:ascii="Arial" w:cs="Arial" w:eastAsia="Arial" w:hAnsi="Arial"/>
          <w:sz w:val="18"/>
          <w:szCs w:val="18"/>
          <w:color w:val="auto"/>
        </w:rPr>
      </w:pPr>
    </w:p>
    <w:p>
      <w:pPr>
        <w:ind w:left="4" w:right="20" w:firstLine="987"/>
        <w:spacing w:after="0" w:line="284" w:lineRule="auto"/>
        <w:tabs>
          <w:tab w:leader="none" w:pos="1385" w:val="left"/>
        </w:tabs>
        <w:numPr>
          <w:ilvl w:val="1"/>
          <w:numId w:val="260"/>
        </w:numPr>
        <w:rPr>
          <w:rFonts w:ascii="Arial" w:cs="Arial" w:eastAsia="Arial" w:hAnsi="Arial"/>
          <w:sz w:val="16"/>
          <w:szCs w:val="16"/>
          <w:color w:val="auto"/>
        </w:rPr>
      </w:pPr>
      <w:r>
        <w:rPr>
          <w:rFonts w:ascii="Arial" w:cs="Arial" w:eastAsia="Arial" w:hAnsi="Arial"/>
          <w:sz w:val="16"/>
          <w:szCs w:val="16"/>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w:t>
      </w:r>
    </w:p>
    <w:p>
      <w:pPr>
        <w:spacing w:after="0" w:line="2" w:lineRule="exact"/>
        <w:rPr>
          <w:rFonts w:ascii="Arial" w:cs="Arial" w:eastAsia="Arial" w:hAnsi="Arial"/>
          <w:sz w:val="16"/>
          <w:szCs w:val="16"/>
          <w:color w:val="auto"/>
        </w:rPr>
      </w:pPr>
    </w:p>
    <w:p>
      <w:pPr>
        <w:ind w:left="4" w:right="140" w:hanging="4"/>
        <w:spacing w:after="0" w:line="268" w:lineRule="auto"/>
        <w:tabs>
          <w:tab w:leader="none" w:pos="31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7"/>
          <w:szCs w:val="17"/>
          <w:u w:val="single" w:color="auto"/>
          <w:color w:val="auto"/>
        </w:rPr>
        <w:t>Termination Option Event</w:t>
      </w:r>
      <w:r>
        <w:rPr>
          <w:rFonts w:ascii="Arial" w:cs="Arial" w:eastAsia="Arial" w:hAnsi="Arial"/>
          <w:sz w:val="17"/>
          <w:szCs w:val="17"/>
          <w:color w:val="auto"/>
        </w:rPr>
        <w: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70" w:name="page371"/>
    <w:bookmarkEnd w:id="370"/>
    <w:p>
      <w:pPr>
        <w:ind w:right="40" w:firstLine="987"/>
        <w:spacing w:after="0" w:line="288" w:lineRule="auto"/>
        <w:tabs>
          <w:tab w:leader="none" w:pos="1371" w:val="left"/>
        </w:tabs>
        <w:numPr>
          <w:ilvl w:val="0"/>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this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firstLine="987"/>
        <w:spacing w:after="0" w:line="293" w:lineRule="auto"/>
        <w:tabs>
          <w:tab w:leader="none" w:pos="138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64" w:lineRule="exact"/>
        <w:rPr>
          <w:rFonts w:ascii="Arial" w:cs="Arial" w:eastAsia="Arial" w:hAnsi="Arial"/>
          <w:sz w:val="16"/>
          <w:szCs w:val="16"/>
          <w:color w:val="auto"/>
        </w:rPr>
      </w:pPr>
    </w:p>
    <w:p>
      <w:pPr>
        <w:ind w:right="120" w:firstLine="987"/>
        <w:spacing w:after="0" w:line="259" w:lineRule="auto"/>
        <w:tabs>
          <w:tab w:leader="none" w:pos="137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Event</w:t>
      </w:r>
      <w:r>
        <w:rPr>
          <w:rFonts w:ascii="Arial" w:cs="Arial" w:eastAsia="Arial" w:hAnsi="Arial"/>
          <w:sz w:val="18"/>
          <w:szCs w:val="18"/>
          <w:color w:val="auto"/>
        </w:rPr>
        <w:t>.</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5"/>
          <w:szCs w:val="15"/>
          <w:u w:val="single" w:color="auto"/>
          <w:color w:val="auto"/>
        </w:rPr>
        <w:t>Reports.</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71" w:name="page372"/>
    <w:bookmarkEnd w:id="371"/>
    <w:p>
      <w:pPr>
        <w:ind w:left="44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4.10.</w:t>
      </w:r>
      <w:r>
        <w:rPr>
          <w:sz w:val="20"/>
          <w:szCs w:val="20"/>
          <w:color w:val="auto"/>
        </w:rPr>
        <w:tab/>
      </w:r>
      <w:r>
        <w:rPr>
          <w:rFonts w:ascii="Arial" w:cs="Arial" w:eastAsia="Arial" w:hAnsi="Arial"/>
          <w:sz w:val="16"/>
          <w:szCs w:val="16"/>
          <w:u w:val="single" w:color="auto"/>
          <w:color w:val="auto"/>
        </w:rPr>
        <w:t>Lists of Owners.</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Upon written request by the Company, the Depositary shall, at the expense of the Company, furnish to it a list, as of a recent date, of the names, addresses and American Depositary Share holdings of all Owners.</w:t>
      </w:r>
    </w:p>
    <w:p>
      <w:pPr>
        <w:spacing w:after="0" w:line="170"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7"/>
          <w:szCs w:val="17"/>
          <w:u w:val="single" w:color="auto"/>
          <w:color w:val="auto"/>
        </w:rPr>
        <w:t>Withholding.</w:t>
      </w:r>
    </w:p>
    <w:p>
      <w:pPr>
        <w:spacing w:after="0" w:line="225"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61"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24"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7"/>
          <w:szCs w:val="17"/>
          <w:color w:val="auto"/>
        </w:rPr>
        <w:t>THE DEPOSITARY, THE CUSTODIANS AND THE COMPANY</w:t>
      </w:r>
    </w:p>
    <w:p>
      <w:pPr>
        <w:spacing w:after="0" w:line="11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Maintenance of Office and Register by the Depositary.</w:t>
      </w:r>
    </w:p>
    <w:p>
      <w:pPr>
        <w:spacing w:after="0" w:line="225" w:lineRule="exact"/>
        <w:rPr>
          <w:sz w:val="20"/>
          <w:szCs w:val="20"/>
          <w:color w:val="auto"/>
        </w:rPr>
      </w:pPr>
    </w:p>
    <w:p>
      <w:pPr>
        <w:ind w:right="560" w:firstLine="991"/>
        <w:spacing w:after="0" w:line="263" w:lineRule="auto"/>
        <w:rPr>
          <w:sz w:val="20"/>
          <w:szCs w:val="20"/>
          <w:color w:val="auto"/>
        </w:rPr>
      </w:pPr>
      <w:r>
        <w:rPr>
          <w:rFonts w:ascii="Arial" w:cs="Arial" w:eastAsia="Arial" w:hAnsi="Arial"/>
          <w:sz w:val="18"/>
          <w:szCs w:val="18"/>
          <w:color w:val="auto"/>
        </w:rPr>
        <w:t>Until termination of this Deposit Agreement in accordance with its terms, the Depositary shall maintain facilities for the execution, delivery, registration, registration of transfers and surrender of American Depositary Shares in accordance with the provisions of this Deposit Agreement.</w:t>
      </w:r>
    </w:p>
    <w:p>
      <w:pPr>
        <w:spacing w:after="0" w:line="18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72" w:name="page373"/>
    <w:bookmarkEnd w:id="372"/>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close the register for delivery, registration of transfer or surrender for the purpose of withdrawal from time to time as provided in Section 2.6.</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w:t>
      </w:r>
    </w:p>
    <w:p>
      <w:pPr>
        <w:spacing w:after="0" w:line="184"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Company shall have the right, at all reasonable times, upon written request, to inspect transfer and registration records of the Depositary, the Registrar and any co-transfer agents or co-registrars and to require them to supply, at the Company’s expense (unless otherwise agreed in writing between the Company and the Depositary) copies of such portions of their records as the Company may reasonably request.</w:t>
      </w:r>
    </w:p>
    <w:p>
      <w:pPr>
        <w:spacing w:after="0" w:line="16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Prevention or Delay of Performance by the Company or the Depositary.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Neither the Depositary nor the Company nor any of their respective directors, employees, agents or affiliates shall incur any liability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Owner or Holder:</w:t>
      </w:r>
    </w:p>
    <w:p>
      <w:pPr>
        <w:spacing w:after="0" w:line="103" w:lineRule="exact"/>
        <w:rPr>
          <w:sz w:val="20"/>
          <w:szCs w:val="20"/>
          <w:color w:val="auto"/>
        </w:rPr>
      </w:pPr>
    </w:p>
    <w:p>
      <w:pPr>
        <w:ind w:right="20" w:firstLine="987"/>
        <w:spacing w:after="0" w:line="269" w:lineRule="auto"/>
        <w:tabs>
          <w:tab w:leader="none" w:pos="120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181" w:lineRule="exact"/>
        <w:rPr>
          <w:rFonts w:ascii="Arial" w:cs="Arial" w:eastAsia="Arial" w:hAnsi="Arial"/>
          <w:sz w:val="17"/>
          <w:szCs w:val="17"/>
          <w:color w:val="auto"/>
        </w:rPr>
      </w:pPr>
    </w:p>
    <w:p>
      <w:pPr>
        <w:ind w:right="220" w:firstLine="987"/>
        <w:spacing w:after="0" w:line="263" w:lineRule="auto"/>
        <w:tabs>
          <w:tab w:leader="none" w:pos="125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this Deposit Agreement (including any determination by the Depositary or the Company to take, or not take, any action that this Deposit Agreement provides the Depositary or the Company, as the case may be, may take);</w:t>
      </w:r>
    </w:p>
    <w:p>
      <w:pPr>
        <w:spacing w:after="0" w:line="183" w:lineRule="exact"/>
        <w:rPr>
          <w:rFonts w:ascii="Arial" w:cs="Arial" w:eastAsia="Arial" w:hAnsi="Arial"/>
          <w:sz w:val="18"/>
          <w:szCs w:val="18"/>
          <w:color w:val="auto"/>
        </w:rPr>
      </w:pPr>
    </w:p>
    <w:p>
      <w:pPr>
        <w:ind w:right="460" w:firstLine="987"/>
        <w:spacing w:after="0" w:line="308" w:lineRule="auto"/>
        <w:tabs>
          <w:tab w:leader="none" w:pos="130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73" w:name="page374"/>
    <w:bookmarkEnd w:id="3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(iv) for any special, consequential or punitive damages for any breach of the terms of this Deposit Agreement.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Obligations of the Depositary and the Company.</w:t>
      </w:r>
    </w:p>
    <w:p>
      <w:pPr>
        <w:spacing w:after="0" w:line="225"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spacing w:after="0" w:line="14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87" w:lineRule="exact"/>
        <w:rPr>
          <w:sz w:val="20"/>
          <w:szCs w:val="20"/>
          <w:color w:val="auto"/>
        </w:rPr>
      </w:pPr>
    </w:p>
    <w:p>
      <w:pPr>
        <w:ind w:right="520" w:firstLine="991"/>
        <w:spacing w:after="0" w:line="263" w:lineRule="auto"/>
        <w:rPr>
          <w:sz w:val="20"/>
          <w:szCs w:val="20"/>
          <w:color w:val="auto"/>
        </w:rPr>
      </w:pPr>
      <w:r>
        <w:rPr>
          <w:rFonts w:ascii="Arial" w:cs="Arial" w:eastAsia="Arial" w:hAnsi="Arial"/>
          <w:sz w:val="18"/>
          <w:szCs w:val="18"/>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84"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74" w:name="page375"/>
    <w:bookmarkEnd w:id="37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70"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 disclaimer of liability under the United States federal securities laws is intended by any provision of this Deposit Agreement.</w:t>
      </w:r>
    </w:p>
    <w:p>
      <w:pPr>
        <w:spacing w:after="0" w:line="23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Resignation and Removal of the Depositary.</w:t>
      </w:r>
    </w:p>
    <w:p>
      <w:pPr>
        <w:spacing w:after="0" w:line="225"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84"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pacing w:after="0" w:line="184"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If the Depositary resigns or is removed, the Company shall use its best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5" w:name="page376"/>
    <w:bookmarkEnd w:id="375"/>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corporation or other entity into or with which the Depositary may be merged or consolidated shall be the successor of the Depositary without the execution or filing of any document or any further act.</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5"/>
          <w:szCs w:val="15"/>
          <w:u w:val="single" w:color="auto"/>
          <w:color w:val="auto"/>
        </w:rPr>
        <w:t>The Custodians.</w:t>
      </w:r>
    </w:p>
    <w:p>
      <w:pPr>
        <w:spacing w:after="0" w:line="225"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notify the Company of the appointment of a substitute or additional Custodian as promptly as practicable. The Depositary shall require any Custodian that resigns or is removed to deliver all Deposited Securities held by it to another Custodian.</w:t>
      </w:r>
    </w:p>
    <w:p>
      <w:pPr>
        <w:spacing w:after="0" w:line="17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Notices and Reports.</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76"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76" w:name="page377"/>
    <w:bookmarkEnd w:id="376"/>
    <w:p>
      <w:pPr>
        <w:ind w:right="4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represents, that as of the date of this Deposit Agreement, the statements in Article 11 of the form of Receipt appearing as Exhibit A to this Deposit Agreement or, if applicable, most recently filed with the Commission pursuant to Rule 424(b) under the Securities Act with respect to the Company’s obligation to file periodic reports under the United States Securities Exchange Act of 1934, as amended, or its qualification for exemption from registration under that Act pursuant to Rule 12g3-2(b) under that Act, as the case may be, are true and correct. The Company agrees to promptly notify the Depositary upon becoming aware of any change in the truth of any of those statements or if there is any change in the Company’s status regarding those reporting obligations or that qualification.</w:t>
      </w:r>
    </w:p>
    <w:p>
      <w:pPr>
        <w:spacing w:after="0" w:line="178"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Distribution of Additional Shares, Rights, etc.</w:t>
      </w:r>
    </w:p>
    <w:p>
      <w:pPr>
        <w:spacing w:after="0" w:line="225"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Arial" w:cs="Arial" w:eastAsia="Arial" w:hAnsi="Arial"/>
          <w:sz w:val="16"/>
          <w:szCs w:val="16"/>
          <w:u w:val="single" w:color="auto"/>
          <w:color w:val="auto"/>
        </w:rPr>
        <w:t>Distribution</w:t>
      </w:r>
      <w:r>
        <w:rPr>
          <w:rFonts w:ascii="Arial" w:cs="Arial" w:eastAsia="Arial" w:hAnsi="Arial"/>
          <w:sz w:val="16"/>
          <w:szCs w:val="16"/>
          <w:color w:val="auto"/>
        </w:rPr>
        <w:t>”), the Company shall notify the Depositary in writing in English as promptly as practicable and in any event before the Distribution starts and, if reasonably requested in writing by the Depositary, the Company shall promptly furnish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6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170"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Company agrees to indemnify the Depositary, its directors, employees, agents and affiliates and each Custodian against, and hold each of them harmless from, any liability or expense (including, but not limited to any documented fees and expenses incurred in seeking, enforcing or collecting such indemnity and the documented, reasonable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77" w:name="page378"/>
    <w:bookmarkEnd w:id="377"/>
    <w:p>
      <w:pPr>
        <w:ind w:right="1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indemnities contained in the preceding paragraph shall not extend to any Losses arising out of information relating to the Depositary or any Custodian, as the case may be, furnished in writing by the Depositary to the Company expressly for use in any registration statement, proxy statement, prospectus or preliminary prospectus or any other offering documents relating to the American Depositary Share, the Shares or any other Deposited Securities (it being acknowledged that, as of the date of this Deposit Agreement, the Depositary has not furnished any information of that kind).</w:t>
      </w:r>
    </w:p>
    <w:p>
      <w:pPr>
        <w:spacing w:after="0" w:line="188"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Depositary agrees to indemnify the Company, its directors, employees, agents and affiliates and hold them harmless from any liability or expense (including, but not limited to any documented fees and expenses incurred in seeking, enforcing or collecting such indemnity and documented, reasonable fees and expenses of counsel) that may arise out of acts performed or omitted by the Depositary or any Custodian or their respective directors, employees, agents and affiliates due to their negligence or bad faith.</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If a claim is asserted or an action is commenced against a person that is entitled to seek and intends to seek indemnification for that claim or action under this Section 5.8 (an “Indemnifiable Claim”), that person (an “Indemnified Person”) shall (i) promptly notify in writing the person obligated to provide that indemnification (the “Indemnifying Person”) of that assertion or commencement and (ii) consult in good faith with the Indemnifying Person as to the conduct of the defense of that Indemnifiable Claim. To the extent that (x) no conflict of interest exists in the conduct of the defense and (y) no legal defenses are available to the Indemnified Person that are different from or in addition to those available to the Indemnifying Person, the Indemnifying Person may, by written notice to the Indemnified Person, assume the defense of an Indemnifiable Claim with counsel reasonably satisfactory to the Indemnified Person. After notice from the Indemnifying Person to the Indemnified Person of its election to assume the defense of an Indemnifiable Claim, and provided no conflict of interest exists or no different or additional legal defenses are available, the Indemnifying Person shall not be liable to the Indemnified Person for any legal expenses of other counsel or any other expenses subsequently incurred by the Indemnified Person in connection with the defense other than reasonable costs of investigation. Neither the Indemnified Person nor the Indemnifying Person shall compromise or settle an Indemnifiable Claim without the consent of the other (which consent shall not be unreasonably withheld). The Indemnifying Person shall have no obligation to indemnify and hold harmless the Indemnified Person from any loss, expense or liability incurred by the Indemnified Person as a result of a default judgment entered against the Indemnified Person in an Indemnifiable Claim unless that judgment was entered after the Indemnifying Party agreed, in writing, to assume the defense of that Indemnifiable Claim.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78" w:name="page379"/>
    <w:bookmarkEnd w:id="378"/>
    <w:p>
      <w:pPr>
        <w:ind w:left="444"/>
        <w:spacing w:after="0"/>
        <w:tabs>
          <w:tab w:leader="none" w:pos="16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5.9.</w:t>
      </w:r>
      <w:r>
        <w:rPr>
          <w:sz w:val="20"/>
          <w:szCs w:val="20"/>
          <w:color w:val="auto"/>
        </w:rPr>
        <w:tab/>
      </w:r>
      <w:r>
        <w:rPr>
          <w:rFonts w:ascii="Arial" w:cs="Arial" w:eastAsia="Arial" w:hAnsi="Arial"/>
          <w:sz w:val="16"/>
          <w:szCs w:val="16"/>
          <w:u w:val="single" w:color="auto"/>
          <w:color w:val="auto"/>
        </w:rPr>
        <w:t>Charges of Depositary.</w:t>
      </w:r>
    </w:p>
    <w:p>
      <w:pPr>
        <w:spacing w:after="0" w:line="225"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w:t>
      </w:r>
    </w:p>
    <w:p>
      <w:pPr>
        <w:spacing w:after="0" w:line="2" w:lineRule="exact"/>
        <w:rPr>
          <w:sz w:val="20"/>
          <w:szCs w:val="20"/>
          <w:color w:val="auto"/>
        </w:rPr>
      </w:pPr>
    </w:p>
    <w:p>
      <w:pPr>
        <w:ind w:left="4" w:hanging="4"/>
        <w:spacing w:after="0" w:line="281" w:lineRule="auto"/>
        <w:tabs>
          <w:tab w:leader="none" w:pos="25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w:t>
      </w:r>
    </w:p>
    <w:p>
      <w:pPr>
        <w:spacing w:after="0" w:line="5" w:lineRule="exact"/>
        <w:rPr>
          <w:rFonts w:ascii="Arial" w:cs="Arial" w:eastAsia="Arial" w:hAnsi="Arial"/>
          <w:sz w:val="16"/>
          <w:szCs w:val="16"/>
          <w:color w:val="auto"/>
        </w:rPr>
      </w:pPr>
    </w:p>
    <w:p>
      <w:pPr>
        <w:ind w:left="4" w:right="180" w:hanging="4"/>
        <w:spacing w:after="0" w:line="295" w:lineRule="auto"/>
        <w:tabs>
          <w:tab w:leader="none" w:pos="25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61"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4" w:right="439" w:bottom="1440" w:gutter="0" w:footer="0" w:header="0"/>
        </w:sectPr>
      </w:pPr>
    </w:p>
    <w:bookmarkStart w:id="379" w:name="page380"/>
    <w:bookmarkEnd w:id="379"/>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Depositary may own and deal in any class of securities of the Company and its affiliates and in American Depositary Shares.</w:t>
      </w:r>
    </w:p>
    <w:p>
      <w:pPr>
        <w:spacing w:after="0" w:line="237"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Retention of Depositary Documents.</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The Depositary is authorized to destroy those documents, records, bills and other data compiled during the term of this Deposit Agreement at the times permitted by the laws or regulations governing the Depositary, unless the Company requests in writing, at the Company’s expense, reasonably prior to any such destruction, that those papers be retained for a longer period or turned over to the Company.</w:t>
      </w:r>
    </w:p>
    <w:p>
      <w:pPr>
        <w:spacing w:after="0" w:line="165"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Exclusivity.</w:t>
      </w:r>
    </w:p>
    <w:p>
      <w:pPr>
        <w:spacing w:after="0" w:line="225"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spacing w:after="0" w:line="184" w:lineRule="exact"/>
        <w:rPr>
          <w:sz w:val="20"/>
          <w:szCs w:val="20"/>
          <w:color w:val="auto"/>
        </w:rPr>
      </w:pPr>
    </w:p>
    <w:p>
      <w:pPr>
        <w:ind w:left="440"/>
        <w:spacing w:after="0"/>
        <w:tabs>
          <w:tab w:leader="none" w:pos="176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Information for Regulatory Compliance.</w:t>
      </w:r>
    </w:p>
    <w:p>
      <w:pPr>
        <w:spacing w:after="0" w:line="225"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6.</w:t>
      </w:r>
      <w:r>
        <w:rPr>
          <w:sz w:val="20"/>
          <w:szCs w:val="20"/>
          <w:color w:val="auto"/>
        </w:rPr>
        <w:tab/>
      </w:r>
      <w:r>
        <w:rPr>
          <w:rFonts w:ascii="Arial" w:cs="Arial" w:eastAsia="Arial" w:hAnsi="Arial"/>
          <w:sz w:val="17"/>
          <w:szCs w:val="17"/>
          <w:color w:val="auto"/>
        </w:rPr>
        <w:t>AMENDMENT AND TERMINATION</w:t>
      </w:r>
    </w:p>
    <w:p>
      <w:pPr>
        <w:spacing w:after="0" w:line="11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Amendment.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80" w:name="page381"/>
    <w:bookmarkEnd w:id="380"/>
    <w:p>
      <w:pPr>
        <w:ind w:left="400"/>
        <w:spacing w:after="0"/>
        <w:tabs>
          <w:tab w:leader="none" w:pos="1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6.2.</w:t>
      </w:r>
      <w:r>
        <w:rPr>
          <w:sz w:val="20"/>
          <w:szCs w:val="20"/>
          <w:color w:val="auto"/>
        </w:rPr>
        <w:tab/>
      </w:r>
      <w:r>
        <w:rPr>
          <w:rFonts w:ascii="Arial" w:cs="Arial" w:eastAsia="Arial" w:hAnsi="Arial"/>
          <w:sz w:val="16"/>
          <w:szCs w:val="16"/>
          <w:u w:val="single" w:color="auto"/>
          <w:color w:val="auto"/>
        </w:rPr>
        <w:t>Termination.</w:t>
      </w:r>
    </w:p>
    <w:p>
      <w:pPr>
        <w:spacing w:after="0" w:line="225" w:lineRule="exact"/>
        <w:rPr>
          <w:sz w:val="20"/>
          <w:szCs w:val="20"/>
          <w:color w:val="auto"/>
        </w:rPr>
      </w:pPr>
    </w:p>
    <w:p>
      <w:pPr>
        <w:ind w:left="-40" w:firstLine="987"/>
        <w:spacing w:after="0" w:line="273" w:lineRule="auto"/>
        <w:tabs>
          <w:tab w:leader="none" w:pos="132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at least 90 days after the date of that notice, and this Deposit Agreement shall terminate on that Termination Date.</w:t>
      </w:r>
    </w:p>
    <w:p>
      <w:pPr>
        <w:spacing w:after="0" w:line="177" w:lineRule="exact"/>
        <w:rPr>
          <w:rFonts w:ascii="Arial" w:cs="Arial" w:eastAsia="Arial" w:hAnsi="Arial"/>
          <w:sz w:val="17"/>
          <w:szCs w:val="17"/>
          <w:color w:val="auto"/>
        </w:rPr>
      </w:pPr>
    </w:p>
    <w:p>
      <w:pPr>
        <w:ind w:left="-40" w:right="500" w:firstLine="987"/>
        <w:spacing w:after="0" w:line="277" w:lineRule="auto"/>
        <w:tabs>
          <w:tab w:leader="none" w:pos="133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this Deposit Agreement except for its obligations to the Depositary under Sections 5.8 and 5.9.</w:t>
      </w:r>
    </w:p>
    <w:p>
      <w:pPr>
        <w:spacing w:after="0" w:line="170" w:lineRule="exact"/>
        <w:rPr>
          <w:rFonts w:ascii="Arial" w:cs="Arial" w:eastAsia="Arial" w:hAnsi="Arial"/>
          <w:sz w:val="18"/>
          <w:szCs w:val="18"/>
          <w:color w:val="auto"/>
        </w:rPr>
      </w:pPr>
    </w:p>
    <w:p>
      <w:pPr>
        <w:ind w:left="-40" w:firstLine="987"/>
        <w:spacing w:after="0" w:line="271" w:lineRule="auto"/>
        <w:tabs>
          <w:tab w:leader="none" w:pos="132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80" w:top="274" w:right="499" w:bottom="1440" w:gutter="0" w:footer="0" w:header="0"/>
        </w:sectPr>
      </w:pPr>
    </w:p>
    <w:bookmarkStart w:id="381" w:name="page382"/>
    <w:bookmarkEnd w:id="381"/>
    <w:p>
      <w:pPr>
        <w:ind w:firstLine="987"/>
        <w:spacing w:after="0" w:line="269" w:lineRule="auto"/>
        <w:tabs>
          <w:tab w:leader="none" w:pos="1371" w:val="left"/>
        </w:tabs>
        <w:numPr>
          <w:ilvl w:val="0"/>
          <w:numId w:val="2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Termination Date, if any American Depositary Shares shall remain outstanding,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7"/>
          <w:szCs w:val="17"/>
          <w:color w:val="auto"/>
        </w:rPr>
        <w:t>MISCELLANEOUS</w:t>
      </w:r>
    </w:p>
    <w:p>
      <w:pPr>
        <w:spacing w:after="0" w:line="11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Counterparts; Signatures; Delivery.</w:t>
      </w:r>
    </w:p>
    <w:p>
      <w:pPr>
        <w:spacing w:after="0" w:line="22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84"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157"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No Third Party Beneficiaries.</w:t>
      </w:r>
    </w:p>
    <w:p>
      <w:pPr>
        <w:spacing w:after="0" w:line="225" w:lineRule="exact"/>
        <w:rPr>
          <w:sz w:val="20"/>
          <w:szCs w:val="20"/>
          <w:color w:val="auto"/>
        </w:rPr>
      </w:pPr>
    </w:p>
    <w:p>
      <w:pPr>
        <w:ind w:right="420" w:firstLine="991"/>
        <w:spacing w:after="0" w:line="308" w:lineRule="auto"/>
        <w:rPr>
          <w:sz w:val="20"/>
          <w:szCs w:val="20"/>
          <w:color w:val="auto"/>
        </w:rPr>
      </w:pPr>
      <w:r>
        <w:rPr>
          <w:rFonts w:ascii="Arial" w:cs="Arial" w:eastAsia="Arial" w:hAnsi="Arial"/>
          <w:sz w:val="17"/>
          <w:szCs w:val="17"/>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146"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82" w:name="page383"/>
    <w:bookmarkEnd w:id="382"/>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7.4.</w:t>
      </w:r>
      <w:r>
        <w:rPr>
          <w:sz w:val="20"/>
          <w:szCs w:val="20"/>
          <w:color w:val="auto"/>
        </w:rPr>
        <w:tab/>
      </w:r>
      <w:r>
        <w:rPr>
          <w:rFonts w:ascii="Arial" w:cs="Arial" w:eastAsia="Arial" w:hAnsi="Arial"/>
          <w:sz w:val="16"/>
          <w:szCs w:val="16"/>
          <w:u w:val="single" w:color="auto"/>
          <w:color w:val="auto"/>
        </w:rPr>
        <w:t>Owners and Holders as Parties; Binding Effect.</w:t>
      </w:r>
    </w:p>
    <w:p>
      <w:pPr>
        <w:spacing w:after="0" w:line="225" w:lineRule="exact"/>
        <w:rPr>
          <w:sz w:val="20"/>
          <w:szCs w:val="20"/>
          <w:color w:val="auto"/>
        </w:rPr>
      </w:pPr>
    </w:p>
    <w:p>
      <w:pPr>
        <w:ind w:right="760" w:firstLine="991"/>
        <w:spacing w:after="0" w:line="342" w:lineRule="auto"/>
        <w:rPr>
          <w:sz w:val="20"/>
          <w:szCs w:val="20"/>
          <w:color w:val="auto"/>
        </w:rPr>
      </w:pPr>
      <w:r>
        <w:rPr>
          <w:rFonts w:ascii="Arial" w:cs="Arial" w:eastAsia="Arial" w:hAnsi="Arial"/>
          <w:sz w:val="16"/>
          <w:szCs w:val="16"/>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124"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[Kingsoft Cloud Holdings Limited, Kingsoft Tower, No. 33, Xiao Ying West Road, Haidian District Beijing, 100085, the People’s Republic of China, Attention: _____________,] or any other place to which the Company may have transferred its principal office with notice to the Depositary.</w:t>
      </w:r>
    </w:p>
    <w:p>
      <w:pPr>
        <w:spacing w:after="0" w:line="188"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57"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383" w:name="page384"/>
    <w:bookmarkEnd w:id="383"/>
    <w:p>
      <w:pPr>
        <w:ind w:left="444"/>
        <w:spacing w:after="0"/>
        <w:tabs>
          <w:tab w:leader="none" w:pos="16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7.6.</w:t>
      </w:r>
      <w:r>
        <w:rPr>
          <w:sz w:val="20"/>
          <w:szCs w:val="20"/>
          <w:color w:val="auto"/>
        </w:rPr>
        <w:tab/>
      </w:r>
      <w:r>
        <w:rPr>
          <w:rFonts w:ascii="Arial" w:cs="Arial" w:eastAsia="Arial" w:hAnsi="Arial"/>
          <w:sz w:val="16"/>
          <w:szCs w:val="16"/>
          <w:u w:val="single" w:color="auto"/>
          <w:color w:val="auto"/>
        </w:rPr>
        <w:t>Arbitration; Settlement of Disputes.</w:t>
      </w:r>
    </w:p>
    <w:p>
      <w:pPr>
        <w:spacing w:after="0" w:line="225"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Any controversy, claim or cause of action brought by any party hereto against the Company arising out of or relating to the Shares or other Deposited Securities, the American Depositary Shares, the Receipts or this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87"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The place of the arbitration shall be The City of New York, State of New York, United States of America, and the language of the arbitration shall be English.</w:t>
      </w:r>
    </w:p>
    <w:p>
      <w:pPr>
        <w:spacing w:after="0" w:line="170"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w:t>
      </w:r>
    </w:p>
    <w:p>
      <w:pPr>
        <w:spacing w:after="0" w:line="2" w:lineRule="exact"/>
        <w:rPr>
          <w:sz w:val="20"/>
          <w:szCs w:val="20"/>
          <w:color w:val="auto"/>
        </w:rPr>
      </w:pPr>
    </w:p>
    <w:p>
      <w:pPr>
        <w:jc w:val="both"/>
        <w:ind w:left="4" w:right="140" w:hanging="4"/>
        <w:spacing w:after="0" w:line="255" w:lineRule="auto"/>
        <w:tabs>
          <w:tab w:leader="none" w:pos="34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90" w:lineRule="exact"/>
        <w:rPr>
          <w:sz w:val="20"/>
          <w:szCs w:val="20"/>
          <w:color w:val="auto"/>
        </w:rPr>
      </w:pPr>
    </w:p>
    <w:p>
      <w:pPr>
        <w:jc w:val="both"/>
        <w:ind w:left="4" w:firstLine="991"/>
        <w:spacing w:after="0" w:line="263" w:lineRule="auto"/>
        <w:rPr>
          <w:sz w:val="20"/>
          <w:szCs w:val="20"/>
          <w:color w:val="auto"/>
        </w:rPr>
      </w:pPr>
      <w:r>
        <w:rPr>
          <w:rFonts w:ascii="Arial" w:cs="Arial" w:eastAsia="Arial" w:hAnsi="Arial"/>
          <w:sz w:val="18"/>
          <w:szCs w:val="18"/>
          <w:color w:val="auto"/>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this Deposit Agreement.</w:t>
      </w:r>
    </w:p>
    <w:p>
      <w:pPr>
        <w:spacing w:after="0" w:line="184" w:lineRule="exact"/>
        <w:rPr>
          <w:sz w:val="20"/>
          <w:szCs w:val="20"/>
          <w:color w:val="auto"/>
        </w:rPr>
      </w:pPr>
    </w:p>
    <w:p>
      <w:pPr>
        <w:ind w:left="444"/>
        <w:spacing w:after="0"/>
        <w:tabs>
          <w:tab w:leader="none" w:pos="1684"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Appointment of Agent for Service of Process; Submission to Jurisdiction; Jury Trial Waiver.</w:t>
      </w:r>
    </w:p>
    <w:p>
      <w:pPr>
        <w:spacing w:after="0" w:line="225"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The Company hereby (i) designates and appoints the person named in Exhibit A to this Deposit Agreement as the Company’s authorized agent in the United States upon which process may be served in any suit or proceeding (including any arbitration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4"/>
          </w:cols>
          <w:pgMar w:left="436" w:top="274" w:right="439" w:bottom="1440" w:gutter="0" w:footer="0" w:header="0"/>
        </w:sectPr>
      </w:pPr>
    </w:p>
    <w:bookmarkStart w:id="384" w:name="page385"/>
    <w:bookmarkEnd w:id="384"/>
    <w:p>
      <w:pPr>
        <w:ind w:right="14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19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Waiver of Immunities.</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85" w:name="page386"/>
    <w:bookmarkEnd w:id="385"/>
    <w:p>
      <w:pPr>
        <w:ind w:left="44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7.9.</w:t>
      </w:r>
      <w:r>
        <w:rPr>
          <w:sz w:val="20"/>
          <w:szCs w:val="20"/>
          <w:color w:val="auto"/>
        </w:rPr>
        <w:tab/>
      </w:r>
      <w:r>
        <w:rPr>
          <w:rFonts w:ascii="Arial" w:cs="Arial" w:eastAsia="Arial" w:hAnsi="Arial"/>
          <w:sz w:val="16"/>
          <w:szCs w:val="16"/>
          <w:u w:val="single" w:color="auto"/>
          <w:color w:val="auto"/>
        </w:rPr>
        <w:t>Governing Law.</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This Deposit Agreement and the Receipts shall be interpreted in accordance with and all rights hereunder and thereunder and provisions hereof and thereof shall be governed by the laws of the State of New York.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80"/>
          </w:cols>
          <w:pgMar w:left="440" w:top="274" w:right="679" w:bottom="1440" w:gutter="0" w:footer="0" w:header="0"/>
        </w:sectPr>
      </w:pPr>
    </w:p>
    <w:bookmarkStart w:id="386" w:name="page387"/>
    <w:bookmarkEnd w:id="386"/>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KINGSOFT CLOUD HOLDINGS LIMITED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60" w:val="left"/>
        </w:tabs>
        <w:rPr>
          <w:sz w:val="20"/>
          <w:szCs w:val="20"/>
          <w:color w:val="auto"/>
        </w:rPr>
      </w:pPr>
      <w:r>
        <w:rPr>
          <w:rFonts w:ascii="Arial" w:cs="Arial" w:eastAsia="Arial" w:hAnsi="Arial"/>
          <w:sz w:val="18"/>
          <w:szCs w:val="18"/>
          <w:color w:val="auto"/>
        </w:rPr>
        <w:t>Name:</w:t>
        <w:tab/>
        <w:t>Robert W. Goad</w:t>
      </w:r>
    </w:p>
    <w:p>
      <w:pPr>
        <w:spacing w:after="0" w:line="23" w:lineRule="exact"/>
        <w:rPr>
          <w:sz w:val="20"/>
          <w:szCs w:val="20"/>
          <w:color w:val="auto"/>
        </w:rPr>
      </w:pPr>
    </w:p>
    <w:p>
      <w:pPr>
        <w:ind w:left="6980"/>
        <w:spacing w:after="0"/>
        <w:tabs>
          <w:tab w:leader="none" w:pos="7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20"/>
          </w:cols>
          <w:pgMar w:left="440" w:top="274" w:right="63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AMERICAN DEPOSITARY SHARES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(Each American Depositary Share represents</w:t>
      </w:r>
    </w:p>
    <w:p>
      <w:pPr>
        <w:spacing w:after="0" w:line="3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deposited Shares)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ORDINARY SHARES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KINGSOFT CLOUD HOLDINGS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(INCORPORATED UNDER THE LAWS OF THE CAYMAN ISLANDS)</w:t>
      </w:r>
    </w:p>
    <w:p>
      <w:pPr>
        <w:sectPr>
          <w:pgSz w:w="11900" w:h="16838" w:orient="portrait"/>
          <w:cols w:equalWidth="0" w:num="1">
            <w:col w:w="10980"/>
          </w:cols>
          <w:pgMar w:left="440" w:top="274" w:right="479" w:bottom="1440" w:gutter="0" w:footer="0" w:header="0"/>
        </w:sectPr>
      </w:pPr>
    </w:p>
    <w:p>
      <w:pPr>
        <w:spacing w:after="0" w:line="22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Bank of New York Mellon, as depositary (hereinafter called the “Depositary”), hereby certifies that THE OWNER OF</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 or registered assigns IS</w:t>
      </w:r>
    </w:p>
    <w:p>
      <w:pPr>
        <w:spacing w:after="0" w:line="475" w:lineRule="exact"/>
        <w:rPr>
          <w:sz w:val="20"/>
          <w:szCs w:val="20"/>
          <w:color w:val="auto"/>
        </w:rPr>
      </w:pPr>
    </w:p>
    <w:p>
      <w:pPr>
        <w:sectPr>
          <w:pgSz w:w="11900" w:h="16838" w:orient="portrait"/>
          <w:cols w:equalWidth="0" w:num="2">
            <w:col w:w="8280" w:space="720"/>
            <w:col w:w="1980"/>
          </w:cols>
          <w:pgMar w:left="440" w:top="274"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AMERICAN DEPOSITARY SHARES</w:t>
      </w:r>
    </w:p>
    <w:p>
      <w:pPr>
        <w:sectPr>
          <w:pgSz w:w="11900" w:h="16838" w:orient="portrait"/>
          <w:cols w:equalWidth="0" w:num="1">
            <w:col w:w="10980"/>
          </w:cols>
          <w:pgMar w:left="440" w:top="274" w:right="47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representing deposited Ordinary Shares (herein called “Shares”) of Kingsoft Cloud Holdings Limited, incorporated under the laws of the Cayman</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Islands (herein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At the date hereof, each American Depositary Share represents Shares deposited or subject to deposit under the Deposit Agreement (as such term is hereinafter defined) with a custodian for the Depositary (herein called the “</w:t>
      </w:r>
      <w:r>
        <w:rPr>
          <w:rFonts w:ascii="Arial" w:cs="Arial" w:eastAsia="Arial" w:hAnsi="Arial"/>
          <w:sz w:val="18"/>
          <w:szCs w:val="18"/>
          <w:u w:val="single" w:color="auto"/>
          <w:color w:val="auto"/>
        </w:rPr>
        <w:t>Custodian</w:t>
      </w:r>
      <w:r>
        <w:rPr>
          <w:rFonts w:ascii="Arial" w:cs="Arial" w:eastAsia="Arial" w:hAnsi="Arial"/>
          <w:sz w:val="18"/>
          <w:szCs w:val="18"/>
          <w:color w:val="auto"/>
        </w:rPr>
        <w:t>”) that, as of the date of the Deposit Agreement, was The Hongkong and Shanghai Banking Corporation Limited located in Hong Kong. The Depositary’s Office and its principal executive office are located at 240 Greenwich Street, New York, N.Y. 10286.</w:t>
      </w:r>
    </w:p>
    <w:p>
      <w:pPr>
        <w:spacing w:after="0" w:line="19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THE DEPOSITARY’S OFFICE ADDRESS IS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240 GREENWICH STREET, NEW YORK, N.Y. 10286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440" w:top="274" w:right="479" w:bottom="1440" w:gutter="0" w:footer="0" w:header="0"/>
          <w:type w:val="continuous"/>
        </w:sectPr>
      </w:pPr>
    </w:p>
    <w:bookmarkStart w:id="388" w:name="page389"/>
    <w:bookmarkEnd w:id="388"/>
    <w:p>
      <w:pPr>
        <w:ind w:left="424" w:hanging="424"/>
        <w:spacing w:after="0"/>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American Depositary Receipt is one of an issue (herein called “</w:t>
      </w:r>
      <w:r>
        <w:rPr>
          <w:rFonts w:ascii="Arial" w:cs="Arial" w:eastAsia="Arial" w:hAnsi="Arial"/>
          <w:sz w:val="16"/>
          <w:szCs w:val="16"/>
          <w:u w:val="single" w:color="auto"/>
          <w:color w:val="auto"/>
        </w:rPr>
        <w:t>Receipts</w:t>
      </w:r>
      <w:r>
        <w:rPr>
          <w:rFonts w:ascii="Arial" w:cs="Arial" w:eastAsia="Arial" w:hAnsi="Arial"/>
          <w:sz w:val="16"/>
          <w:szCs w:val="16"/>
          <w:color w:val="auto"/>
        </w:rPr>
        <w:t>”), all issued and to be issued upon the terms and conditions set forth</w:t>
      </w:r>
    </w:p>
    <w:p>
      <w:pPr>
        <w:spacing w:after="0" w:line="46" w:lineRule="exact"/>
        <w:rPr>
          <w:sz w:val="20"/>
          <w:szCs w:val="20"/>
          <w:color w:val="auto"/>
        </w:rPr>
      </w:pPr>
    </w:p>
    <w:p>
      <w:pPr>
        <w:ind w:left="4" w:right="80"/>
        <w:spacing w:after="0" w:line="290" w:lineRule="auto"/>
        <w:rPr>
          <w:sz w:val="20"/>
          <w:szCs w:val="20"/>
          <w:color w:val="auto"/>
        </w:rPr>
      </w:pPr>
      <w:r>
        <w:rPr>
          <w:rFonts w:ascii="Arial" w:cs="Arial" w:eastAsia="Arial" w:hAnsi="Arial"/>
          <w:sz w:val="16"/>
          <w:szCs w:val="16"/>
          <w:color w:val="auto"/>
        </w:rPr>
        <w:t>in the Deposit Agreement dated as of , 2020 (herein called 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6"/>
          <w:szCs w:val="16"/>
          <w:u w:val="single" w:color="auto"/>
          <w:color w:val="auto"/>
        </w:rPr>
        <w:t>Deposited Securities</w:t>
      </w:r>
      <w:r>
        <w:rPr>
          <w:rFonts w:ascii="Arial" w:cs="Arial" w:eastAsia="Arial" w:hAnsi="Arial"/>
          <w:sz w:val="16"/>
          <w:szCs w:val="16"/>
          <w:color w:val="auto"/>
        </w:rPr>
        <w:t>”). Copies of the Deposit Agreement are on file at the Depositary’s Office in New York City and at the office of the Custodian.</w:t>
      </w:r>
    </w:p>
    <w:p>
      <w:pPr>
        <w:spacing w:after="0" w:line="16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211" w:lineRule="exact"/>
        <w:rPr>
          <w:sz w:val="20"/>
          <w:szCs w:val="20"/>
          <w:color w:val="auto"/>
        </w:rPr>
      </w:pPr>
    </w:p>
    <w:p>
      <w:pPr>
        <w:ind w:left="424" w:hanging="424"/>
        <w:spacing w:after="0"/>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SURRENDER OF AMERICAN DEPOSITARY SHARES AND WITHDRAWAL OF SHARES.</w:t>
      </w:r>
    </w:p>
    <w:p>
      <w:pPr>
        <w:spacing w:after="0" w:line="11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7"/>
          <w:szCs w:val="17"/>
          <w:u w:val="single" w:color="auto"/>
          <w:color w:val="auto"/>
        </w:rPr>
        <w:t>except that</w:t>
      </w:r>
      <w:r>
        <w:rPr>
          <w:rFonts w:ascii="Arial" w:cs="Arial" w:eastAsia="Arial" w:hAnsi="Arial"/>
          <w:sz w:val="17"/>
          <w:szCs w:val="17"/>
          <w:color w:val="auto"/>
        </w:rPr>
        <w:t>, at the request, risk and 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389" w:name="page390"/>
    <w:bookmarkEnd w:id="389"/>
    <w:p>
      <w:pPr>
        <w:ind w:left="424" w:right="1060" w:hanging="424"/>
        <w:spacing w:after="0" w:line="277" w:lineRule="auto"/>
        <w:tabs>
          <w:tab w:leader="none" w:pos="424" w:val="left"/>
        </w:tabs>
        <w:numPr>
          <w:ilvl w:val="0"/>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OF TRANSFER OF AMERICAN DEPOSITARY SHARES; COMBINATION AND SPLIT-UP OF RECEIPTS; INTERCHANGE OF CERTIFICATED AND UNCERTIFICATED AMERICAN DEPOSITARY SHARES.</w:t>
      </w:r>
    </w:p>
    <w:p>
      <w:pPr>
        <w:spacing w:after="0" w:line="62"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w:t>
      </w:r>
    </w:p>
    <w:p>
      <w:pPr>
        <w:spacing w:after="0" w:line="195" w:lineRule="exact"/>
        <w:rPr>
          <w:sz w:val="20"/>
          <w:szCs w:val="20"/>
          <w:color w:val="auto"/>
        </w:rPr>
      </w:pPr>
    </w:p>
    <w:p>
      <w:pPr>
        <w:ind w:left="4" w:right="120" w:firstLine="440"/>
        <w:spacing w:after="0" w:line="311" w:lineRule="auto"/>
        <w:rPr>
          <w:sz w:val="20"/>
          <w:szCs w:val="20"/>
          <w:color w:val="auto"/>
        </w:rPr>
      </w:pPr>
      <w:r>
        <w:rPr>
          <w:rFonts w:ascii="Arial" w:cs="Arial" w:eastAsia="Arial" w:hAnsi="Arial"/>
          <w:sz w:val="16"/>
          <w:szCs w:val="16"/>
          <w:color w:val="auto"/>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spacing w:after="0" w:line="149"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4"/>
          </w:cols>
          <w:pgMar w:left="436" w:top="274" w:right="499" w:bottom="1440" w:gutter="0" w:footer="0" w:header="0"/>
        </w:sectPr>
      </w:pPr>
    </w:p>
    <w:bookmarkStart w:id="390" w:name="page391"/>
    <w:bookmarkEnd w:id="390"/>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77"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6"/>
          <w:szCs w:val="16"/>
          <w:u w:val="single" w:color="auto"/>
          <w:color w:val="auto"/>
        </w:rPr>
        <w:t>but, notwithstanding anything to the contrary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Deposit Agreement, only for</w:t>
      </w:r>
      <w:r>
        <w:rPr>
          <w:rFonts w:ascii="Arial" w:cs="Arial" w:eastAsia="Arial" w:hAnsi="Arial"/>
          <w:sz w:val="16"/>
          <w:szCs w:val="16"/>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4" w:lineRule="exact"/>
        <w:rPr>
          <w:sz w:val="20"/>
          <w:szCs w:val="20"/>
          <w:color w:val="auto"/>
        </w:rPr>
      </w:pPr>
    </w:p>
    <w:p>
      <w:pPr>
        <w:jc w:val="both"/>
        <w:ind w:left="4" w:right="120" w:hanging="4"/>
        <w:spacing w:after="0" w:line="255" w:lineRule="auto"/>
        <w:tabs>
          <w:tab w:leader="none" w:pos="26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spacing w:after="0" w:line="190"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Shares that, at the time of deposit, are Restricted Securities.</w:t>
      </w:r>
    </w:p>
    <w:p>
      <w:pPr>
        <w:spacing w:after="0" w:line="197"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LIABILITY OF OWNER FOR TAXES.</w:t>
      </w:r>
    </w:p>
    <w:p>
      <w:pPr>
        <w:spacing w:after="0" w:line="11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391" w:name="page392"/>
    <w:bookmarkEnd w:id="391"/>
    <w:p>
      <w:pPr>
        <w:ind w:left="424" w:hanging="424"/>
        <w:spacing w:after="0"/>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WARRANTIES ON DEPOSIT OF SHARES.</w:t>
      </w:r>
    </w:p>
    <w:p>
      <w:pPr>
        <w:spacing w:after="0" w:line="117"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188" w:lineRule="exact"/>
        <w:rPr>
          <w:sz w:val="20"/>
          <w:szCs w:val="20"/>
          <w:color w:val="auto"/>
        </w:rPr>
      </w:pPr>
    </w:p>
    <w:p>
      <w:pPr>
        <w:ind w:left="424" w:hanging="424"/>
        <w:spacing w:after="0"/>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FILING PROOFS, CERTIFICATES, AND OTHER INFORMATION.</w:t>
      </w:r>
    </w:p>
    <w:p>
      <w:pPr>
        <w:spacing w:after="0" w:line="117"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or as the Company may reasonably require by written request to the Depositary.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 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 The Depositary shall provide the Company, upon the Company’s written request and at the Company’s expense, as promptly as practicable, with copies of any information or other materials which the Depositary receives pursuant to Section 3.4 of the Deposit Agreement, to the extent that the requested disclosure is permitted under applicable law.</w:t>
      </w:r>
    </w:p>
    <w:p>
      <w:pPr>
        <w:spacing w:after="0" w:line="3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4"/>
          </w:cols>
          <w:pgMar w:left="436" w:top="274" w:right="459" w:bottom="1440" w:gutter="0" w:footer="0" w:header="0"/>
        </w:sectPr>
      </w:pPr>
    </w:p>
    <w:bookmarkStart w:id="392" w:name="page393"/>
    <w:bookmarkEnd w:id="392"/>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CHARGES OF DEPOSITARY.</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w:t>
      </w:r>
    </w:p>
    <w:p>
      <w:pPr>
        <w:spacing w:after="0" w:line="1" w:lineRule="exact"/>
        <w:rPr>
          <w:sz w:val="20"/>
          <w:szCs w:val="20"/>
          <w:color w:val="auto"/>
        </w:rPr>
      </w:pPr>
    </w:p>
    <w:p>
      <w:pPr>
        <w:ind w:left="4" w:right="20" w:hanging="4"/>
        <w:spacing w:after="0" w:line="285" w:lineRule="auto"/>
        <w:tabs>
          <w:tab w:leader="none" w:pos="25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64"/>
          </w:cols>
          <w:pgMar w:left="436" w:top="274" w:right="499" w:bottom="1440" w:gutter="0" w:footer="0" w:header="0"/>
        </w:sectPr>
      </w:pPr>
    </w:p>
    <w:bookmarkStart w:id="393" w:name="page394"/>
    <w:bookmarkEnd w:id="393"/>
    <w:p>
      <w:pPr>
        <w:ind w:left="4" w:right="6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Depositary may own and deal in any class of securities of the Company and its affiliates and in American Depositary Shares.</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15" w:lineRule="exact"/>
        <w:rPr>
          <w:sz w:val="20"/>
          <w:szCs w:val="20"/>
          <w:color w:val="auto"/>
        </w:rPr>
      </w:pPr>
    </w:p>
    <w:p>
      <w:pPr>
        <w:ind w:left="424" w:hanging="424"/>
        <w:spacing w:after="0"/>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DISCLOSURE OF INTERESTS.</w:t>
      </w:r>
    </w:p>
    <w:p>
      <w:pPr>
        <w:spacing w:after="0" w:line="11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4"/>
          </w:cols>
          <w:pgMar w:left="436" w:top="274" w:right="479" w:bottom="1440" w:gutter="0" w:footer="0" w:header="0"/>
        </w:sectPr>
      </w:pPr>
    </w:p>
    <w:bookmarkStart w:id="394" w:name="page395"/>
    <w:bookmarkEnd w:id="394"/>
    <w:p>
      <w:pPr>
        <w:ind w:left="424" w:hanging="424"/>
        <w:spacing w:after="0"/>
        <w:tabs>
          <w:tab w:leader="none" w:pos="424"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TO AMERICAN DEPOSITARY SHARES.</w:t>
      </w:r>
    </w:p>
    <w:p>
      <w:pPr>
        <w:spacing w:after="0" w:line="225"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205" w:lineRule="exact"/>
        <w:rPr>
          <w:sz w:val="20"/>
          <w:szCs w:val="20"/>
          <w:color w:val="auto"/>
        </w:rPr>
      </w:pPr>
    </w:p>
    <w:p>
      <w:pPr>
        <w:ind w:left="424" w:hanging="424"/>
        <w:spacing w:after="0"/>
        <w:tabs>
          <w:tab w:leader="none" w:pos="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VALIDITY OF RECEIPT.</w:t>
      </w:r>
    </w:p>
    <w:p>
      <w:pPr>
        <w:spacing w:after="0" w:line="117"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214" w:lineRule="exact"/>
        <w:rPr>
          <w:sz w:val="20"/>
          <w:szCs w:val="20"/>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REPORTS; INSPECTION OF TRANSFER BOOKS.</w:t>
      </w:r>
    </w:p>
    <w:p>
      <w:pPr>
        <w:spacing w:after="0" w:line="11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84"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76"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The Depositary will maintain a register of American Depositary Shares and transfers of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4"/>
          </w:cols>
          <w:pgMar w:left="436" w:top="274" w:right="499" w:bottom="1440" w:gutter="0" w:footer="0" w:header="0"/>
        </w:sectPr>
      </w:pPr>
    </w:p>
    <w:bookmarkStart w:id="395" w:name="page396"/>
    <w:bookmarkEnd w:id="395"/>
    <w:p>
      <w:pPr>
        <w:ind w:left="424" w:hanging="424"/>
        <w:spacing w:after="0"/>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AND DISTRIBUTIONS.</w:t>
      </w:r>
    </w:p>
    <w:p>
      <w:pPr>
        <w:spacing w:after="0" w:line="117"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the amount thus received (net of the fees and expenses of the Depositary as provided in Article 7 hereof and Section 5.9 of the Deposit Agreement) to the Owners entitled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w:t>
      </w:r>
    </w:p>
    <w:p>
      <w:pPr>
        <w:spacing w:after="0" w:line="17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If a cash distribution would represent a return of all or substantially all the value of the Deposited Securities underlying American Depositary Shares, the Depositary may:</w:t>
      </w:r>
    </w:p>
    <w:p>
      <w:pPr>
        <w:spacing w:after="0" w:line="62" w:lineRule="exact"/>
        <w:rPr>
          <w:sz w:val="20"/>
          <w:szCs w:val="20"/>
          <w:color w:val="auto"/>
        </w:rPr>
      </w:pPr>
    </w:p>
    <w:p>
      <w:pPr>
        <w:ind w:left="4" w:right="460" w:firstLine="987"/>
        <w:spacing w:after="0" w:line="277" w:lineRule="auto"/>
        <w:tabs>
          <w:tab w:leader="none" w:pos="121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cash distribution; or</w:t>
      </w:r>
    </w:p>
    <w:p>
      <w:pPr>
        <w:spacing w:after="0" w:line="170" w:lineRule="exact"/>
        <w:rPr>
          <w:rFonts w:ascii="Arial" w:cs="Arial" w:eastAsia="Arial" w:hAnsi="Arial"/>
          <w:sz w:val="18"/>
          <w:szCs w:val="18"/>
          <w:color w:val="auto"/>
        </w:rPr>
      </w:pPr>
    </w:p>
    <w:p>
      <w:pPr>
        <w:ind w:left="4" w:right="120" w:firstLine="987"/>
        <w:spacing w:after="0" w:line="308" w:lineRule="auto"/>
        <w:tabs>
          <w:tab w:leader="none" w:pos="12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cash distribution and add any net cash proceeds of that sale to the cash distribution, call for surrender of all those American Depositary Shares and require that surrender as a condition of making that cash distribution.</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in the opinion of the Depositary such distribution cannot be made proportionately among the Owners entitled thereto, or if for any other reason the Depositary deems such distribution not to be lawful and feasible, the Depositary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4"/>
          </w:cols>
          <w:pgMar w:left="436" w:top="274" w:right="459" w:bottom="1440" w:gutter="0" w:footer="0" w:header="0"/>
        </w:sectPr>
      </w:pPr>
    </w:p>
    <w:bookmarkStart w:id="396" w:name="page397"/>
    <w:bookmarkEnd w:id="39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distribution to be made under Section 4.2 of the Deposit Agreement would represent a return of all or substantially all the value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underlying American Depositary Shares, the Depositary may:</w:t>
      </w:r>
    </w:p>
    <w:p>
      <w:pPr>
        <w:spacing w:after="0" w:line="103" w:lineRule="exact"/>
        <w:rPr>
          <w:sz w:val="20"/>
          <w:szCs w:val="20"/>
          <w:color w:val="auto"/>
        </w:rPr>
      </w:pPr>
    </w:p>
    <w:p>
      <w:pPr>
        <w:ind w:right="460" w:firstLine="987"/>
        <w:spacing w:after="0" w:line="277" w:lineRule="auto"/>
        <w:tabs>
          <w:tab w:leader="none" w:pos="120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require payment of or deduct the fee for surrender of American Depositary Shares (whether or not it is also requiring surrender of American Depositary Shares) as a condition of making that distribution; or</w:t>
      </w:r>
    </w:p>
    <w:p>
      <w:pPr>
        <w:spacing w:after="0" w:line="170" w:lineRule="exact"/>
        <w:rPr>
          <w:rFonts w:ascii="Arial" w:cs="Arial" w:eastAsia="Arial" w:hAnsi="Arial"/>
          <w:sz w:val="18"/>
          <w:szCs w:val="18"/>
          <w:color w:val="auto"/>
        </w:rPr>
      </w:pPr>
    </w:p>
    <w:p>
      <w:pPr>
        <w:ind w:right="280" w:firstLine="987"/>
        <w:spacing w:after="0" w:line="308" w:lineRule="auto"/>
        <w:tabs>
          <w:tab w:leader="none" w:pos="1256" w:val="left"/>
        </w:tabs>
        <w:numPr>
          <w:ilvl w:val="0"/>
          <w:numId w:val="284"/>
        </w:numPr>
        <w:rPr>
          <w:rFonts w:ascii="Arial" w:cs="Arial" w:eastAsia="Arial" w:hAnsi="Arial"/>
          <w:sz w:val="17"/>
          <w:szCs w:val="17"/>
          <w:color w:val="auto"/>
        </w:rPr>
      </w:pPr>
      <w:r>
        <w:rPr>
          <w:rFonts w:ascii="Arial" w:cs="Arial" w:eastAsia="Arial" w:hAnsi="Arial"/>
          <w:sz w:val="17"/>
          <w:szCs w:val="17"/>
          <w:color w:val="auto"/>
        </w:rPr>
        <w:t>sell all Deposited Securities other than the subject distribution and add any net cash proceeds of that sale to the distribution, call for surrender of all those American Depositary Shares and require that surrender as a condition of making that distribution.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Depositary acts under this paragraph, that action shall also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Whenever the Depositary receives any distribution consisting of a dividend in, or free distribution of, Shares, the Depositary may, and if the Company so requests in writing,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7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considers to be lawful and practical. As a condition of making a distribution election right available to Owners, the Depositary may require satisfactory assurances from the Company that doing so does not require registration of any securities under the Securities Act of 1933.</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0"/>
          </w:cols>
          <w:pgMar w:left="440" w:top="274" w:right="459" w:bottom="1440" w:gutter="0" w:footer="0" w:header="0"/>
        </w:sectPr>
      </w:pPr>
    </w:p>
    <w:bookmarkStart w:id="397" w:name="page398"/>
    <w:bookmarkEnd w:id="397"/>
    <w:p>
      <w:pPr>
        <w:ind w:left="4"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61"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203"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RIGHTS.</w:t>
      </w:r>
    </w:p>
    <w:p>
      <w:pPr>
        <w:spacing w:after="0" w:line="117" w:lineRule="exact"/>
        <w:rPr>
          <w:rFonts w:ascii="Arial" w:cs="Arial" w:eastAsia="Arial" w:hAnsi="Arial"/>
          <w:sz w:val="18"/>
          <w:szCs w:val="18"/>
          <w:color w:val="auto"/>
        </w:rPr>
      </w:pPr>
    </w:p>
    <w:p>
      <w:pPr>
        <w:ind w:left="4" w:right="100" w:firstLine="436"/>
        <w:spacing w:after="0" w:line="272" w:lineRule="auto"/>
        <w:tabs>
          <w:tab w:leader="none" w:pos="824" w:val="left"/>
        </w:tabs>
        <w:numPr>
          <w:ilvl w:val="1"/>
          <w:numId w:val="285"/>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77" w:lineRule="exact"/>
        <w:rPr>
          <w:rFonts w:ascii="Arial" w:cs="Arial" w:eastAsia="Arial" w:hAnsi="Arial"/>
          <w:sz w:val="17"/>
          <w:szCs w:val="17"/>
          <w:color w:val="auto"/>
        </w:rPr>
      </w:pPr>
    </w:p>
    <w:p>
      <w:pPr>
        <w:ind w:left="4" w:right="140" w:firstLine="436"/>
        <w:spacing w:after="0" w:line="289" w:lineRule="auto"/>
        <w:tabs>
          <w:tab w:leader="none" w:pos="834"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satisfactory to it to the effect that those securities may be sold and delivered to the applicable Owners without registration under the Securities Act of 1933.</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4"/>
          </w:cols>
          <w:pgMar w:left="436" w:top="274" w:right="459" w:bottom="1440" w:gutter="0" w:footer="0" w:header="0"/>
        </w:sectPr>
      </w:pPr>
    </w:p>
    <w:bookmarkStart w:id="398" w:name="page399"/>
    <w:bookmarkEnd w:id="398"/>
    <w:p>
      <w:pPr>
        <w:ind w:left="4" w:firstLine="436"/>
        <w:spacing w:after="0" w:line="301" w:lineRule="auto"/>
        <w:tabs>
          <w:tab w:leader="none" w:pos="824" w:val="left"/>
        </w:tabs>
        <w:numPr>
          <w:ilvl w:val="0"/>
          <w:numId w:val="2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7" w:lineRule="exact"/>
        <w:rPr>
          <w:rFonts w:ascii="Arial" w:cs="Arial" w:eastAsia="Arial" w:hAnsi="Arial"/>
          <w:sz w:val="16"/>
          <w:szCs w:val="16"/>
          <w:color w:val="auto"/>
        </w:rPr>
      </w:pPr>
    </w:p>
    <w:p>
      <w:pPr>
        <w:ind w:left="4" w:right="80" w:firstLine="436"/>
        <w:spacing w:after="0" w:line="259" w:lineRule="auto"/>
        <w:tabs>
          <w:tab w:leader="none" w:pos="83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ind w:left="4" w:right="160" w:firstLine="436"/>
        <w:spacing w:after="0" w:line="263" w:lineRule="auto"/>
        <w:tabs>
          <w:tab w:leader="none" w:pos="8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that Agreement.</w:t>
      </w:r>
    </w:p>
    <w:p>
      <w:pPr>
        <w:spacing w:after="0" w:line="183" w:lineRule="exact"/>
        <w:rPr>
          <w:rFonts w:ascii="Arial" w:cs="Arial" w:eastAsia="Arial" w:hAnsi="Arial"/>
          <w:sz w:val="18"/>
          <w:szCs w:val="18"/>
          <w:color w:val="auto"/>
        </w:rPr>
      </w:pPr>
    </w:p>
    <w:p>
      <w:pPr>
        <w:ind w:left="4" w:right="220" w:firstLine="436"/>
        <w:spacing w:after="0" w:line="277" w:lineRule="auto"/>
        <w:tabs>
          <w:tab w:leader="none" w:pos="80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Depositary shall not be responsible for any failure to determine that it may be lawful or feasible to make rights available to or exercise rights on behalf of Owners in general or any Owner in particular , or to sell rights.</w:t>
      </w:r>
    </w:p>
    <w:p>
      <w:pPr>
        <w:spacing w:after="0" w:line="197" w:lineRule="exact"/>
        <w:rPr>
          <w:sz w:val="20"/>
          <w:szCs w:val="20"/>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CONVERSION OF FOREIGN CURRENCY.</w:t>
      </w:r>
    </w:p>
    <w:p>
      <w:pPr>
        <w:spacing w:after="0" w:line="117"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4"/>
          </w:cols>
          <w:pgMar w:left="436" w:top="274" w:right="459" w:bottom="1440" w:gutter="0" w:footer="0" w:header="0"/>
        </w:sectPr>
      </w:pPr>
    </w:p>
    <w:bookmarkStart w:id="399" w:name="page400"/>
    <w:bookmarkEnd w:id="399"/>
    <w:p>
      <w:pPr>
        <w:ind w:right="30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6"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76"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spacing w:after="0" w:line="187"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20"/>
          </w:cols>
          <w:pgMar w:left="440" w:top="274" w:right="439" w:bottom="1440" w:gutter="0" w:footer="0" w:header="0"/>
        </w:sectPr>
      </w:pPr>
    </w:p>
    <w:bookmarkStart w:id="400" w:name="page401"/>
    <w:bookmarkEnd w:id="400"/>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 DATES.</w:t>
      </w:r>
    </w:p>
    <w:p>
      <w:pPr>
        <w:spacing w:after="0" w:line="11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209" w:lineRule="exact"/>
        <w:rPr>
          <w:sz w:val="20"/>
          <w:szCs w:val="20"/>
          <w:color w:val="auto"/>
        </w:rPr>
      </w:pPr>
    </w:p>
    <w:p>
      <w:pPr>
        <w:ind w:left="424" w:hanging="424"/>
        <w:spacing w:after="0"/>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VOTING OF DEPOSITED SHARES.</w:t>
      </w:r>
    </w:p>
    <w:p>
      <w:pPr>
        <w:spacing w:after="0" w:line="117" w:lineRule="exact"/>
        <w:rPr>
          <w:rFonts w:ascii="Arial" w:cs="Arial" w:eastAsia="Arial" w:hAnsi="Arial"/>
          <w:sz w:val="18"/>
          <w:szCs w:val="18"/>
          <w:color w:val="auto"/>
        </w:rPr>
      </w:pPr>
    </w:p>
    <w:p>
      <w:pPr>
        <w:ind w:left="4" w:right="20" w:firstLine="436"/>
        <w:spacing w:after="0" w:line="272" w:lineRule="auto"/>
        <w:tabs>
          <w:tab w:leader="none" w:pos="824" w:val="left"/>
        </w:tabs>
        <w:numPr>
          <w:ilvl w:val="1"/>
          <w:numId w:val="289"/>
        </w:numPr>
        <w:rPr>
          <w:rFonts w:ascii="Arial" w:cs="Arial" w:eastAsia="Arial" w:hAnsi="Arial"/>
          <w:sz w:val="17"/>
          <w:szCs w:val="17"/>
          <w:color w:val="auto"/>
        </w:rPr>
      </w:pPr>
      <w:r>
        <w:rPr>
          <w:rFonts w:ascii="Arial" w:cs="Arial" w:eastAsia="Arial" w:hAnsi="Arial"/>
          <w:sz w:val="17"/>
          <w:szCs w:val="17"/>
          <w:color w:val="auto"/>
        </w:rPr>
        <w:t>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Cayman Island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and (iv) the last date on which the Depositary will accept instructions (the “</w:t>
      </w:r>
      <w:r>
        <w:rPr>
          <w:rFonts w:ascii="Arial" w:cs="Arial" w:eastAsia="Arial" w:hAnsi="Arial"/>
          <w:sz w:val="17"/>
          <w:szCs w:val="17"/>
          <w:u w:val="single" w:color="auto"/>
          <w:color w:val="auto"/>
        </w:rPr>
        <w:t>Instruction Cutoff Date</w:t>
      </w:r>
      <w:r>
        <w:rPr>
          <w:rFonts w:ascii="Arial" w:cs="Arial" w:eastAsia="Arial" w:hAnsi="Arial"/>
          <w:sz w:val="17"/>
          <w:szCs w:val="17"/>
          <w:color w:val="auto"/>
        </w:rPr>
        <w: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84"/>
          </w:cols>
          <w:pgMar w:left="436" w:top="274" w:right="479" w:bottom="1440" w:gutter="0" w:footer="0" w:header="0"/>
        </w:sectPr>
      </w:pPr>
    </w:p>
    <w:bookmarkStart w:id="401" w:name="page402"/>
    <w:bookmarkEnd w:id="401"/>
    <w:p>
      <w:pPr>
        <w:ind w:left="4" w:firstLine="436"/>
        <w:spacing w:after="0" w:line="255" w:lineRule="auto"/>
        <w:tabs>
          <w:tab w:leader="none" w:pos="834" w:val="left"/>
        </w:tabs>
        <w:numPr>
          <w:ilvl w:val="0"/>
          <w:numId w:val="2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w:t>
      </w:r>
    </w:p>
    <w:p>
      <w:pPr>
        <w:spacing w:after="0" w:line="192" w:lineRule="exact"/>
        <w:rPr>
          <w:rFonts w:ascii="Arial" w:cs="Arial" w:eastAsia="Arial" w:hAnsi="Arial"/>
          <w:sz w:val="18"/>
          <w:szCs w:val="18"/>
          <w:color w:val="auto"/>
        </w:rPr>
      </w:pPr>
    </w:p>
    <w:p>
      <w:pPr>
        <w:ind w:left="824" w:hanging="384"/>
        <w:spacing w:after="0"/>
        <w:tabs>
          <w:tab w:leader="none" w:pos="82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There can be no assurance that Owners generally or any Owner in particular will receive the notice described in paragraph (a) above in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 to enable Owners to give instructions to the Depositary prior to the Instruction Cutoff Date.</w:t>
      </w:r>
    </w:p>
    <w:p>
      <w:pPr>
        <w:spacing w:after="0" w:line="211" w:lineRule="exact"/>
        <w:rPr>
          <w:sz w:val="20"/>
          <w:szCs w:val="20"/>
          <w:color w:val="auto"/>
        </w:rPr>
      </w:pPr>
    </w:p>
    <w:p>
      <w:pPr>
        <w:ind w:left="4" w:firstLine="436"/>
        <w:spacing w:after="0" w:line="259" w:lineRule="auto"/>
        <w:tabs>
          <w:tab w:leader="none" w:pos="83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30 days prior to the meeting date.</w:t>
      </w:r>
    </w:p>
    <w:p>
      <w:pPr>
        <w:spacing w:after="0" w:line="213" w:lineRule="exact"/>
        <w:rPr>
          <w:rFonts w:ascii="Arial" w:cs="Arial" w:eastAsia="Arial" w:hAnsi="Arial"/>
          <w:sz w:val="18"/>
          <w:szCs w:val="18"/>
          <w:color w:val="auto"/>
        </w:rPr>
      </w:pPr>
    </w:p>
    <w:p>
      <w:pPr>
        <w:ind w:left="544" w:hanging="544"/>
        <w:spacing w:after="0"/>
        <w:tabs>
          <w:tab w:leader="none" w:pos="54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TENDER AND EXCHANGE OFFERS; REDEMPTION, REPLACEMENT OR CANCELLATION OF DEPOSITED SECURITIES.</w:t>
      </w:r>
    </w:p>
    <w:p>
      <w:pPr>
        <w:spacing w:after="0" w:line="117" w:lineRule="exact"/>
        <w:rPr>
          <w:rFonts w:ascii="Arial" w:cs="Arial" w:eastAsia="Arial" w:hAnsi="Arial"/>
          <w:sz w:val="18"/>
          <w:szCs w:val="18"/>
          <w:color w:val="auto"/>
        </w:rPr>
      </w:pPr>
    </w:p>
    <w:p>
      <w:pPr>
        <w:ind w:left="4" w:right="20" w:firstLine="436"/>
        <w:spacing w:after="0" w:line="263" w:lineRule="auto"/>
        <w:tabs>
          <w:tab w:leader="none" w:pos="82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84"/>
          </w:cols>
          <w:pgMar w:left="436" w:top="274" w:right="479" w:bottom="1440" w:gutter="0" w:footer="0" w:header="0"/>
        </w:sectPr>
      </w:pPr>
    </w:p>
    <w:bookmarkStart w:id="402" w:name="page403"/>
    <w:bookmarkEnd w:id="402"/>
    <w:p>
      <w:pPr>
        <w:ind w:left="-40" w:firstLine="436"/>
        <w:spacing w:after="0" w:line="286" w:lineRule="auto"/>
        <w:tabs>
          <w:tab w:leader="none" w:pos="790" w:val="left"/>
        </w:tabs>
        <w:numPr>
          <w:ilvl w:val="0"/>
          <w:numId w:val="2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40" w:right="60" w:firstLine="436"/>
        <w:spacing w:after="0" w:line="288" w:lineRule="auto"/>
        <w:tabs>
          <w:tab w:leader="none" w:pos="7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0" w:right="40" w:firstLine="436"/>
        <w:spacing w:after="0" w:line="293" w:lineRule="auto"/>
        <w:tabs>
          <w:tab w:leader="none" w:pos="79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40"/>
          </w:cols>
          <w:pgMar w:left="480" w:top="274" w:right="479" w:bottom="1440" w:gutter="0" w:footer="0" w:header="0"/>
        </w:sectPr>
      </w:pPr>
    </w:p>
    <w:bookmarkStart w:id="403" w:name="page404"/>
    <w:bookmarkEnd w:id="403"/>
    <w:p>
      <w:pPr>
        <w:ind w:left="4" w:firstLine="436"/>
        <w:spacing w:after="0" w:line="311" w:lineRule="auto"/>
        <w:tabs>
          <w:tab w:leader="none" w:pos="824" w:val="left"/>
        </w:tabs>
        <w:numPr>
          <w:ilvl w:val="1"/>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424" w:hanging="424"/>
        <w:spacing w:after="0"/>
        <w:tabs>
          <w:tab w:leader="none" w:pos="42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LIABILITY OF THE COMPANY AND DEPOSITARY.</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Neither the Depositary nor the Company nor any of their respective directors, employees, agents or affiliates shall incur any liability to any Owner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Holder:</w:t>
      </w:r>
    </w:p>
    <w:p>
      <w:pPr>
        <w:spacing w:after="0" w:line="103" w:lineRule="exact"/>
        <w:rPr>
          <w:sz w:val="20"/>
          <w:szCs w:val="20"/>
          <w:color w:val="auto"/>
        </w:rPr>
      </w:pPr>
    </w:p>
    <w:p>
      <w:pPr>
        <w:ind w:left="4" w:right="20" w:firstLine="436"/>
        <w:spacing w:after="0" w:line="269" w:lineRule="auto"/>
        <w:tabs>
          <w:tab w:leader="none" w:pos="65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81" w:lineRule="exact"/>
        <w:rPr>
          <w:rFonts w:ascii="Arial" w:cs="Arial" w:eastAsia="Arial" w:hAnsi="Arial"/>
          <w:sz w:val="17"/>
          <w:szCs w:val="17"/>
          <w:color w:val="auto"/>
        </w:rPr>
      </w:pPr>
    </w:p>
    <w:p>
      <w:pPr>
        <w:ind w:left="4" w:right="320" w:firstLine="436"/>
        <w:spacing w:after="0" w:line="263" w:lineRule="auto"/>
        <w:tabs>
          <w:tab w:leader="none" w:pos="70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the Deposit Agreement (including any determination by the Depositary or the Company to take, or not take, any action that the Deposit Agreement provides the Depositary or the Company, as the case may be, may take);</w:t>
      </w:r>
    </w:p>
    <w:p>
      <w:pPr>
        <w:spacing w:after="0" w:line="183" w:lineRule="exact"/>
        <w:rPr>
          <w:rFonts w:ascii="Arial" w:cs="Arial" w:eastAsia="Arial" w:hAnsi="Arial"/>
          <w:sz w:val="18"/>
          <w:szCs w:val="18"/>
          <w:color w:val="auto"/>
        </w:rPr>
      </w:pPr>
    </w:p>
    <w:p>
      <w:pPr>
        <w:ind w:left="4" w:right="240" w:firstLine="436"/>
        <w:spacing w:after="0" w:line="277" w:lineRule="auto"/>
        <w:tabs>
          <w:tab w:leader="none" w:pos="75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70" w:lineRule="exact"/>
        <w:rPr>
          <w:rFonts w:ascii="Arial" w:cs="Arial" w:eastAsia="Arial" w:hAnsi="Arial"/>
          <w:sz w:val="18"/>
          <w:szCs w:val="18"/>
          <w:color w:val="auto"/>
        </w:rPr>
      </w:pPr>
    </w:p>
    <w:p>
      <w:pPr>
        <w:ind w:left="744" w:hanging="304"/>
        <w:spacing w:after="0"/>
        <w:tabs>
          <w:tab w:leader="none" w:pos="74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the Deposit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4"/>
          </w:cols>
          <w:pgMar w:left="436" w:top="274" w:right="459" w:bottom="1440" w:gutter="0" w:footer="0" w:header="0"/>
        </w:sectPr>
      </w:pPr>
    </w:p>
    <w:bookmarkStart w:id="404" w:name="page405"/>
    <w:bookmarkEnd w:id="404"/>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80"/>
          </w:cols>
          <w:pgMar w:left="440" w:top="274" w:right="479" w:bottom="1440" w:gutter="0" w:footer="0" w:header="0"/>
        </w:sectPr>
      </w:pPr>
    </w:p>
    <w:bookmarkStart w:id="405" w:name="page406"/>
    <w:bookmarkEnd w:id="405"/>
    <w:p>
      <w:pPr>
        <w:ind w:left="424" w:hanging="424"/>
        <w:spacing w:after="0"/>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RESIGNATION AND REMOVAL OF THE DEPOSITARY; APPOINTMENT OF SUCCESSOR CUSTODIAN.</w:t>
      </w:r>
    </w:p>
    <w:p>
      <w:pPr>
        <w:spacing w:after="0" w:line="117"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219" w:lineRule="exact"/>
        <w:rPr>
          <w:sz w:val="20"/>
          <w:szCs w:val="20"/>
          <w:color w:val="auto"/>
        </w:rPr>
      </w:pPr>
    </w:p>
    <w:p>
      <w:pPr>
        <w:ind w:left="424" w:hanging="424"/>
        <w:spacing w:after="0"/>
        <w:tabs>
          <w:tab w:leader="none" w:pos="42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AMENDMENT.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206" w:lineRule="exact"/>
        <w:rPr>
          <w:sz w:val="20"/>
          <w:szCs w:val="20"/>
          <w:color w:val="auto"/>
        </w:rPr>
      </w:pPr>
    </w:p>
    <w:p>
      <w:pPr>
        <w:ind w:left="424" w:hanging="424"/>
        <w:spacing w:after="0"/>
        <w:tabs>
          <w:tab w:leader="none" w:pos="42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TERMINATION OF DEPOSIT AGREEMENT.</w:t>
      </w:r>
    </w:p>
    <w:p>
      <w:pPr>
        <w:spacing w:after="0" w:line="117" w:lineRule="exact"/>
        <w:rPr>
          <w:rFonts w:ascii="Arial" w:cs="Arial" w:eastAsia="Arial" w:hAnsi="Arial"/>
          <w:sz w:val="18"/>
          <w:szCs w:val="18"/>
          <w:color w:val="auto"/>
        </w:rPr>
      </w:pPr>
    </w:p>
    <w:p>
      <w:pPr>
        <w:ind w:left="4" w:right="60" w:firstLine="436"/>
        <w:spacing w:after="0" w:line="273" w:lineRule="auto"/>
        <w:tabs>
          <w:tab w:leader="none" w:pos="821"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at least 90 days after the date of that notice, and the Deposit Agreement shall terminate on that Termination Date.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004"/>
          </w:cols>
          <w:pgMar w:left="436" w:top="274" w:right="459" w:bottom="1440" w:gutter="0" w:footer="0" w:header="0"/>
        </w:sectPr>
      </w:pPr>
    </w:p>
    <w:bookmarkStart w:id="406" w:name="page407"/>
    <w:bookmarkEnd w:id="406"/>
    <w:p>
      <w:pPr>
        <w:ind w:left="-20" w:right="680" w:firstLine="436"/>
        <w:spacing w:after="0" w:line="342" w:lineRule="auto"/>
        <w:tabs>
          <w:tab w:leader="none" w:pos="8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Termination Date, if any American Depositary Shares shall remain outstanding, the Company shall be discharged from all obligations under the Deposit Agreement except for its obligations to the Depositary under Sections 5.8 and 5.9 of that Agreement.</w:t>
      </w:r>
    </w:p>
    <w:p>
      <w:pPr>
        <w:spacing w:after="0" w:line="123" w:lineRule="exact"/>
        <w:rPr>
          <w:rFonts w:ascii="Arial" w:cs="Arial" w:eastAsia="Arial" w:hAnsi="Arial"/>
          <w:sz w:val="16"/>
          <w:szCs w:val="16"/>
          <w:color w:val="auto"/>
        </w:rPr>
      </w:pPr>
    </w:p>
    <w:p>
      <w:pPr>
        <w:ind w:left="-20" w:right="20" w:firstLine="436"/>
        <w:spacing w:after="0" w:line="271" w:lineRule="auto"/>
        <w:tabs>
          <w:tab w:leader="none" w:pos="79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(ii) for its obligations under Section 5.8 of that Agreement and (iii) to act as provided in paragraph (d) below.</w:t>
      </w:r>
    </w:p>
    <w:p>
      <w:pPr>
        <w:spacing w:after="0" w:line="178" w:lineRule="exact"/>
        <w:rPr>
          <w:rFonts w:ascii="Arial" w:cs="Arial" w:eastAsia="Arial" w:hAnsi="Arial"/>
          <w:sz w:val="17"/>
          <w:szCs w:val="17"/>
          <w:color w:val="auto"/>
        </w:rPr>
      </w:pPr>
    </w:p>
    <w:p>
      <w:pPr>
        <w:ind w:left="-20" w:firstLine="436"/>
        <w:spacing w:after="0" w:line="269" w:lineRule="auto"/>
        <w:tabs>
          <w:tab w:leader="none" w:pos="80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After the Termination Date,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0960"/>
          </w:cols>
          <w:pgMar w:left="460" w:top="274" w:right="479" w:bottom="1440" w:gutter="0" w:footer="0" w:header="0"/>
        </w:sectPr>
      </w:pPr>
    </w:p>
    <w:bookmarkStart w:id="407" w:name="page408"/>
    <w:bookmarkEnd w:id="407"/>
    <w:p>
      <w:pPr>
        <w:ind w:left="424" w:hanging="424"/>
        <w:spacing w:after="0"/>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DTC DIRECT REGISTRATION SYSTEM AND PROFILE MODIFICATION SYSTEM.</w:t>
      </w:r>
    </w:p>
    <w:p>
      <w:pPr>
        <w:spacing w:after="0" w:line="117" w:lineRule="exact"/>
        <w:rPr>
          <w:rFonts w:ascii="Arial" w:cs="Arial" w:eastAsia="Arial" w:hAnsi="Arial"/>
          <w:sz w:val="18"/>
          <w:szCs w:val="18"/>
          <w:color w:val="auto"/>
        </w:rPr>
      </w:pPr>
    </w:p>
    <w:p>
      <w:pPr>
        <w:ind w:left="4" w:right="20" w:firstLine="436"/>
        <w:spacing w:after="0" w:line="254" w:lineRule="auto"/>
        <w:tabs>
          <w:tab w:leader="none" w:pos="82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Notwithstanding the provisions of Section 2.4 of the Deposit Agreement,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94" w:lineRule="exact"/>
        <w:rPr>
          <w:rFonts w:ascii="Arial" w:cs="Arial" w:eastAsia="Arial" w:hAnsi="Arial"/>
          <w:sz w:val="18"/>
          <w:szCs w:val="18"/>
          <w:color w:val="auto"/>
        </w:rPr>
      </w:pPr>
    </w:p>
    <w:p>
      <w:pPr>
        <w:ind w:left="4" w:firstLine="436"/>
        <w:spacing w:after="0" w:line="273" w:lineRule="auto"/>
        <w:tabs>
          <w:tab w:leader="none" w:pos="834" w:val="left"/>
        </w:tabs>
        <w:numPr>
          <w:ilvl w:val="1"/>
          <w:numId w:val="301"/>
        </w:numPr>
        <w:rPr>
          <w:rFonts w:ascii="Arial" w:cs="Arial" w:eastAsia="Arial" w:hAnsi="Arial"/>
          <w:sz w:val="17"/>
          <w:szCs w:val="17"/>
          <w:color w:val="auto"/>
        </w:rPr>
      </w:pPr>
      <w:r>
        <w:rPr>
          <w:rFonts w:ascii="Arial" w:cs="Arial" w:eastAsia="Arial" w:hAnsi="Arial"/>
          <w:sz w:val="17"/>
          <w:szCs w:val="17"/>
          <w:color w:val="auto"/>
        </w:rPr>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204" w:lineRule="exact"/>
        <w:rPr>
          <w:rFonts w:ascii="Arial" w:cs="Arial" w:eastAsia="Arial" w:hAnsi="Arial"/>
          <w:sz w:val="17"/>
          <w:szCs w:val="17"/>
          <w:color w:val="auto"/>
        </w:rPr>
      </w:pPr>
    </w:p>
    <w:p>
      <w:pPr>
        <w:ind w:left="544" w:hanging="544"/>
        <w:spacing w:after="0"/>
        <w:tabs>
          <w:tab w:leader="none" w:pos="5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ARBITRATION; SETTLEMENT OF DISPUTES.</w:t>
      </w:r>
    </w:p>
    <w:p>
      <w:pPr>
        <w:spacing w:after="0" w:line="117" w:lineRule="exact"/>
        <w:rPr>
          <w:sz w:val="20"/>
          <w:szCs w:val="20"/>
          <w:color w:val="auto"/>
        </w:rPr>
      </w:pPr>
    </w:p>
    <w:p>
      <w:pPr>
        <w:ind w:left="4" w:right="220" w:firstLine="440"/>
        <w:spacing w:after="0" w:line="279" w:lineRule="auto"/>
        <w:rPr>
          <w:sz w:val="20"/>
          <w:szCs w:val="20"/>
          <w:color w:val="auto"/>
        </w:rPr>
      </w:pPr>
      <w:r>
        <w:rPr>
          <w:rFonts w:ascii="Arial" w:cs="Arial" w:eastAsia="Arial" w:hAnsi="Arial"/>
          <w:sz w:val="17"/>
          <w:szCs w:val="17"/>
          <w:color w:val="auto"/>
        </w:rPr>
        <w:t>Any controversy, claim or cause of action brought by any party hereto against the Company arising out of or relating to the Shares or other Deposited Securities, the American Depositary Shares, the Receipts or the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spacing w:after="0" w:line="17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The place of the arbitration shall be The City of New York, State of New York, United States of America, and the language of the arbitration shall be English.</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984"/>
          </w:cols>
          <w:pgMar w:left="436" w:top="274" w:right="479" w:bottom="1440" w:gutter="0" w:footer="0" w:header="0"/>
        </w:sectPr>
      </w:pPr>
    </w:p>
    <w:bookmarkStart w:id="408" w:name="page409"/>
    <w:bookmarkEnd w:id="408"/>
    <w:p>
      <w:pPr>
        <w:ind w:left="4"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spacing w:after="0" w:line="178"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the Deposit Agreement.</w:t>
      </w:r>
    </w:p>
    <w:p>
      <w:pPr>
        <w:spacing w:after="0" w:line="211" w:lineRule="exact"/>
        <w:rPr>
          <w:sz w:val="20"/>
          <w:szCs w:val="20"/>
          <w:color w:val="auto"/>
        </w:rPr>
      </w:pPr>
    </w:p>
    <w:p>
      <w:pPr>
        <w:ind w:left="424" w:right="440" w:hanging="424"/>
        <w:spacing w:after="0" w:line="277" w:lineRule="auto"/>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APPOINTMENT OF AGENT FOR SERVICE OF PROCESS; SUBMISSION TO JURISDICTION; JURY TRIAL WAIVER; WAIVER OF IMMUNITIES.</w:t>
      </w:r>
    </w:p>
    <w:p>
      <w:pPr>
        <w:spacing w:after="0" w:line="62"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The Company has (i) appointed Cogency Global Inc. located at 122 E 42nd Street, 18th Floor, New York, New York 10168, as the Company’s authorized agent in the United States upon which process may be served in any suit or proceeding (including any arbitration proceeding) arising out of or relating to the Shares or Deposited Securities, the American Depositary Shares, the Receipts or this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161" w:lineRule="exact"/>
        <w:rPr>
          <w:sz w:val="20"/>
          <w:szCs w:val="20"/>
          <w:color w:val="auto"/>
        </w:rPr>
      </w:pPr>
    </w:p>
    <w:p>
      <w:pPr>
        <w:ind w:left="4" w:right="240" w:firstLine="440"/>
        <w:spacing w:after="0" w:line="254" w:lineRule="auto"/>
        <w:rPr>
          <w:sz w:val="20"/>
          <w:szCs w:val="20"/>
          <w:color w:val="auto"/>
        </w:rPr>
      </w:pPr>
      <w:r>
        <w:rPr>
          <w:rFonts w:ascii="Arial" w:cs="Arial" w:eastAsia="Arial" w:hAnsi="Arial"/>
          <w:sz w:val="18"/>
          <w:szCs w:val="18"/>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04"/>
          </w:cols>
          <w:pgMar w:left="436" w:top="274" w:right="459" w:bottom="1440" w:gutter="0" w:footer="0" w:header="0"/>
        </w:sectPr>
      </w:pPr>
    </w:p>
    <w:bookmarkStart w:id="409" w:name="page410"/>
    <w:bookmarkEnd w:id="409"/>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920"/>
          </w:cols>
          <w:pgMar w:left="440" w:top="274" w:right="5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6"/>
          <w:szCs w:val="16"/>
          <w:b w:val="1"/>
          <w:bCs w:val="1"/>
          <w:color w:val="auto"/>
        </w:rPr>
        <w:t>Exhibit 8.3</w:t>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328420" cy="2571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8">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7760" w:space="720"/>
            <w:col w:w="2540"/>
          </w:cols>
          <w:pgMar w:left="440" w:top="121" w:right="4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740" w:type="dxa"/>
            <w:vAlign w:val="bottom"/>
          </w:tcPr>
          <w:p>
            <w:pPr>
              <w:ind w:left="480"/>
              <w:spacing w:after="0"/>
              <w:rPr>
                <w:sz w:val="20"/>
                <w:szCs w:val="20"/>
                <w:color w:val="auto"/>
              </w:rPr>
            </w:pPr>
            <w:r>
              <w:rPr>
                <w:rFonts w:ascii="Arial" w:cs="Arial" w:eastAsia="Arial" w:hAnsi="Arial"/>
                <w:sz w:val="18"/>
                <w:szCs w:val="18"/>
                <w:color w:val="auto"/>
                <w:w w:val="92"/>
              </w:rPr>
              <w:t>212 450 4000 tel</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450 Lexington Avenue</w:t>
            </w:r>
          </w:p>
        </w:tc>
        <w:tc>
          <w:tcPr>
            <w:tcW w:w="1740" w:type="dxa"/>
            <w:vAlign w:val="bottom"/>
          </w:tcPr>
          <w:p>
            <w:pPr>
              <w:ind w:left="480"/>
              <w:spacing w:after="0"/>
              <w:rPr>
                <w:sz w:val="20"/>
                <w:szCs w:val="20"/>
                <w:color w:val="auto"/>
              </w:rPr>
            </w:pPr>
            <w:r>
              <w:rPr>
                <w:rFonts w:ascii="Arial" w:cs="Arial" w:eastAsia="Arial" w:hAnsi="Arial"/>
                <w:sz w:val="18"/>
                <w:szCs w:val="18"/>
                <w:color w:val="auto"/>
                <w:w w:val="89"/>
              </w:rPr>
              <w:t>212 701 5800 fax</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New York, NY 10017</w:t>
            </w:r>
          </w:p>
        </w:tc>
        <w:tc>
          <w:tcPr>
            <w:tcW w:w="1740" w:type="dxa"/>
            <w:vAlign w:val="bottom"/>
          </w:tcPr>
          <w:p>
            <w:pPr>
              <w:spacing w:after="0"/>
              <w:rPr>
                <w:sz w:val="20"/>
                <w:szCs w:val="20"/>
                <w:color w:val="auto"/>
              </w:rPr>
            </w:pPr>
          </w:p>
        </w:tc>
      </w:tr>
      <w:tr>
        <w:trPr>
          <w:trHeight w:val="473"/>
        </w:trPr>
        <w:tc>
          <w:tcPr>
            <w:tcW w:w="2520" w:type="dxa"/>
            <w:vAlign w:val="bottom"/>
          </w:tcPr>
          <w:p>
            <w:pPr>
              <w:spacing w:after="0"/>
              <w:rPr>
                <w:sz w:val="20"/>
                <w:szCs w:val="20"/>
                <w:color w:val="auto"/>
              </w:rPr>
            </w:pPr>
            <w:r>
              <w:rPr>
                <w:rFonts w:ascii="Arial" w:cs="Arial" w:eastAsia="Arial" w:hAnsi="Arial"/>
                <w:sz w:val="18"/>
                <w:szCs w:val="18"/>
                <w:color w:val="auto"/>
              </w:rPr>
              <w:t>May 4, 2020</w:t>
            </w:r>
          </w:p>
        </w:tc>
        <w:tc>
          <w:tcPr>
            <w:tcW w:w="1740" w:type="dxa"/>
            <w:vAlign w:val="bottom"/>
          </w:tcPr>
          <w:p>
            <w:pPr>
              <w:spacing w:after="0"/>
              <w:rPr>
                <w:sz w:val="24"/>
                <w:szCs w:val="24"/>
                <w:color w:val="auto"/>
              </w:rPr>
            </w:pPr>
          </w:p>
        </w:tc>
      </w:tr>
    </w:tbl>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tab/>
        <w:t>Registration Statement on Form F-1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Kingsoft Tower, No. 33, Xiao Ying West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Haidian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100085,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are acting as United States counsel to Kingsoft Cloud Holdings Limited, a company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in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preparation of the Registration Statement on Form F-1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filed with the Securities and Exchange Commission by the Company under the Securities Act of 1933, as amended (the “</w:t>
      </w:r>
      <w:r>
        <w:rPr>
          <w:rFonts w:ascii="Arial" w:cs="Arial" w:eastAsia="Arial" w:hAnsi="Arial"/>
          <w:sz w:val="16"/>
          <w:szCs w:val="16"/>
          <w:b w:val="1"/>
          <w:b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w:t>
      </w:r>
      <w:r>
        <w:rPr>
          <w:rFonts w:ascii="Arial" w:cs="Arial" w:eastAsia="Arial" w:hAnsi="Arial"/>
          <w:sz w:val="17"/>
          <w:szCs w:val="17"/>
          <w:color w:val="auto"/>
        </w:rPr>
        <w:t>”). The Prospectus has been filed in connection with the Company’s offering of its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representing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ordinary shares, par value $0.001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 such matters of fact and law as we have deemed necessary or advisable for the purpose of our opinion.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hereby confirm that our opinion as to the material U.S. federal income tax consequences to U.S. Holders of an investment in ADSs is set forth in full under the caption “Taxation—Material U.S. Federal Income Tax Considerations” in the Prospectus.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consent to the use of our name under the captions “Taxations—Material U.S. Federal Income Tax Considerations” and “Legal Matters” in the Prospectus and to the filing, as an exhibit to the Registration Statement, of this letter.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giving such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ectPr>
          <w:pgSz w:w="11900" w:h="16838" w:orient="portrait"/>
          <w:cols w:equalWidth="0" w:num="1">
            <w:col w:w="11020"/>
          </w:cols>
          <w:pgMar w:left="440" w:top="121" w:right="439" w:bottom="1440" w:gutter="0" w:footer="0" w:header="0"/>
          <w:type w:val="continuous"/>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TERMINATION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April 30, 2020 by and among:</w:t>
      </w:r>
    </w:p>
    <w:p>
      <w:pPr>
        <w:spacing w:after="0" w:line="131" w:lineRule="exact"/>
        <w:rPr>
          <w:sz w:val="20"/>
          <w:szCs w:val="20"/>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Kingsoft Cloud Holdings Limited (the “</w:t>
      </w:r>
      <w:r>
        <w:rPr>
          <w:rFonts w:ascii="Arial" w:cs="Arial" w:eastAsia="Arial" w:hAnsi="Arial"/>
          <w:sz w:val="18"/>
          <w:szCs w:val="18"/>
          <w:b w:val="1"/>
          <w:bCs w:val="1"/>
          <w:color w:val="auto"/>
        </w:rPr>
        <w:t>Company</w:t>
      </w:r>
      <w:r>
        <w:rPr>
          <w:rFonts w:ascii="Arial" w:cs="Arial" w:eastAsia="Arial" w:hAnsi="Arial"/>
          <w:sz w:val="18"/>
          <w:szCs w:val="18"/>
          <w:color w:val="auto"/>
        </w:rPr>
        <w:t>”), a limited liability company organized under the laws of the Cayman Islands;</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entities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Kingsoft Corporation Limited, a limited liability company organized under the laws of the Cayman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Autogold Limited, a limited liability company organized under the laws of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River Jade Holdings Limited, a limited liability company organized under the laws of the British Virgin Islands;</w:t>
      </w:r>
    </w:p>
    <w:p>
      <w:pPr>
        <w:spacing w:after="0" w:line="144" w:lineRule="exact"/>
        <w:rPr>
          <w:rFonts w:ascii="Arial" w:cs="Arial" w:eastAsia="Arial" w:hAnsi="Arial"/>
          <w:sz w:val="18"/>
          <w:szCs w:val="18"/>
          <w:color w:val="auto"/>
        </w:rPr>
      </w:pPr>
    </w:p>
    <w:p>
      <w:pPr>
        <w:ind w:left="424" w:hanging="424"/>
        <w:spacing w:after="0" w:line="219" w:lineRule="exact"/>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Mr. ZHANG Hongjiang ( </w:t>
      </w:r>
      <w:r>
        <w:rPr>
          <w:rFonts w:ascii="SimSun" w:cs="SimSun" w:eastAsia="SimSun" w:hAnsi="SimSun"/>
          <w:sz w:val="18"/>
          <w:szCs w:val="18"/>
          <w:color w:val="auto"/>
        </w:rPr>
        <w:t>张 宏 江</w:t>
      </w:r>
      <w:r>
        <w:rPr>
          <w:rFonts w:ascii="Arial" w:cs="Arial" w:eastAsia="Arial" w:hAnsi="Arial"/>
          <w:sz w:val="18"/>
          <w:szCs w:val="18"/>
          <w:color w:val="auto"/>
        </w:rPr>
        <w:t xml:space="preserve"> ), a citizen of Singapore with passport number of *;</w:t>
      </w:r>
    </w:p>
    <w:p>
      <w:pPr>
        <w:spacing w:after="0" w:line="146" w:lineRule="exact"/>
        <w:rPr>
          <w:rFonts w:ascii="Arial" w:cs="Arial" w:eastAsia="Arial" w:hAnsi="Arial"/>
          <w:sz w:val="18"/>
          <w:szCs w:val="18"/>
          <w:color w:val="auto"/>
        </w:rPr>
      </w:pPr>
    </w:p>
    <w:p>
      <w:pPr>
        <w:ind w:left="424" w:hanging="424"/>
        <w:spacing w:after="0" w:line="219" w:lineRule="exact"/>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Mr. WANG Yulin ( </w:t>
      </w:r>
      <w:r>
        <w:rPr>
          <w:rFonts w:ascii="SimSun" w:cs="SimSun" w:eastAsia="SimSun" w:hAnsi="SimSun"/>
          <w:sz w:val="18"/>
          <w:szCs w:val="18"/>
          <w:color w:val="auto"/>
        </w:rPr>
        <w:t>王 育 林</w:t>
      </w:r>
      <w:r>
        <w:rPr>
          <w:rFonts w:ascii="Arial" w:cs="Arial" w:eastAsia="Arial" w:hAnsi="Arial"/>
          <w:sz w:val="18"/>
          <w:szCs w:val="18"/>
          <w:color w:val="auto"/>
        </w:rPr>
        <w:t xml:space="preserve"> ), a citizen of the PRC with ID card number of *;</w:t>
      </w:r>
    </w:p>
    <w:p>
      <w:pPr>
        <w:spacing w:after="0" w:line="132"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TMF Trust (HK) Limited, a limited liability company organized under the laws of Hong Kong;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Xiaomi Corporation, a limited liability company organized under the laws of Cayman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Celestial Power Limited, a company limited by shares incorporated under the laws of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ChinaAMC Special Investment Limited, a company incorporated under the laws of the British Virgin Islands;</w:t>
      </w:r>
    </w:p>
    <w:p>
      <w:pPr>
        <w:spacing w:after="0" w:line="144" w:lineRule="exact"/>
        <w:rPr>
          <w:rFonts w:ascii="Arial" w:cs="Arial" w:eastAsia="Arial" w:hAnsi="Arial"/>
          <w:sz w:val="18"/>
          <w:szCs w:val="18"/>
          <w:color w:val="auto"/>
        </w:rPr>
      </w:pPr>
    </w:p>
    <w:p>
      <w:pPr>
        <w:ind w:left="424" w:right="400" w:hanging="424"/>
        <w:spacing w:after="0" w:line="230" w:lineRule="exact"/>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METAWIT CAPITAL L.P. ( </w:t>
      </w:r>
      <w:r>
        <w:rPr>
          <w:rFonts w:ascii="SimSun" w:cs="SimSun" w:eastAsia="SimSun" w:hAnsi="SimSun"/>
          <w:sz w:val="18"/>
          <w:szCs w:val="18"/>
          <w:color w:val="auto"/>
        </w:rPr>
        <w:t>元 慧 资 本 有 限 合 伙</w:t>
      </w:r>
      <w:r>
        <w:rPr>
          <w:rFonts w:ascii="Arial" w:cs="Arial" w:eastAsia="Arial" w:hAnsi="Arial"/>
          <w:sz w:val="18"/>
          <w:szCs w:val="18"/>
          <w:color w:val="auto"/>
        </w:rPr>
        <w:t xml:space="preserve"> ), an exempted limited partnership registered and existing under the laws of the Cayman Islands;</w:t>
      </w:r>
    </w:p>
    <w:p>
      <w:pPr>
        <w:spacing w:after="0" w:line="108"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New Cloud Ltd., a business company incorporated and existing under the laws of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Precious Steed Limited, a company incorporated and existing under the laws of the British Virgin Islands;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12" w:name="page413"/>
    <w:bookmarkEnd w:id="412"/>
    <w:p>
      <w:pPr>
        <w:ind w:left="424" w:hanging="424"/>
        <w:spacing w:after="0"/>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Shunwei Growth III Limited, a company incorporated and existing under the laws of the British Virgin Islands;</w:t>
      </w:r>
    </w:p>
    <w:p>
      <w:pPr>
        <w:spacing w:after="0" w:line="130"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FUTUREX INNOVATION SPC—Special Opportunity Fund VI SP, a company incorporated and existing under the laws of the Cayman Islands (“</w:t>
      </w:r>
      <w:r>
        <w:rPr>
          <w:rFonts w:ascii="Arial" w:cs="Arial" w:eastAsia="Arial" w:hAnsi="Arial"/>
          <w:sz w:val="18"/>
          <w:szCs w:val="18"/>
          <w:b w:val="1"/>
          <w:bCs w:val="1"/>
          <w:color w:val="auto"/>
        </w:rPr>
        <w:t>FutureX Capital 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FutureX AI Opportunity Fund LP (acting through FutureX Innovation Limited as its general partner), an exempted limited partnership registered and existing under the laws of the Cayman Islands (“</w:t>
      </w:r>
      <w:r>
        <w:rPr>
          <w:rFonts w:ascii="Arial" w:cs="Arial" w:eastAsia="Arial" w:hAnsi="Arial"/>
          <w:sz w:val="18"/>
          <w:szCs w:val="18"/>
          <w:b w:val="1"/>
          <w:bCs w:val="1"/>
          <w:color w:val="auto"/>
        </w:rPr>
        <w:t>FutureX Capital 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FutureX Innovation SPC (acting for and on behalf of New Technology Fund I SP as one of its segregated portfolios), an exempted segregated portfolio company incorporated and existing under the laws of the Cayman Islands (“</w:t>
      </w:r>
      <w:r>
        <w:rPr>
          <w:rFonts w:ascii="Arial" w:cs="Arial" w:eastAsia="Arial" w:hAnsi="Arial"/>
          <w:sz w:val="18"/>
          <w:szCs w:val="18"/>
          <w:b w:val="1"/>
          <w:bCs w:val="1"/>
          <w:color w:val="auto"/>
        </w:rPr>
        <w:t>FutureX Capital 3</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right="40" w:hanging="424"/>
        <w:spacing w:after="0" w:line="282"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Howater Innovation I Limited Partnership, a limited partnership organized and existing under the laws of the Cayman Islands (“</w:t>
      </w:r>
      <w:r>
        <w:rPr>
          <w:rFonts w:ascii="Arial" w:cs="Arial" w:eastAsia="Arial" w:hAnsi="Arial"/>
          <w:sz w:val="18"/>
          <w:szCs w:val="18"/>
          <w:b w:val="1"/>
          <w:bCs w:val="1"/>
          <w:color w:val="auto"/>
        </w:rPr>
        <w:t>FutureX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4</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FUTUREX INNOVATION SPC (for the account of and on behalf of Special Opportunity Fund V SP), a company incorporated and existing under the laws of the Cayman Islands (“</w:t>
      </w:r>
      <w:r>
        <w:rPr>
          <w:rFonts w:ascii="Arial" w:cs="Arial" w:eastAsia="Arial" w:hAnsi="Arial"/>
          <w:sz w:val="18"/>
          <w:szCs w:val="18"/>
          <w:b w:val="1"/>
          <w:bCs w:val="1"/>
          <w:color w:val="auto"/>
        </w:rPr>
        <w:t>FutureX Capital 5</w:t>
      </w:r>
      <w:r>
        <w:rPr>
          <w:rFonts w:ascii="Arial" w:cs="Arial" w:eastAsia="Arial" w:hAnsi="Arial"/>
          <w:sz w:val="18"/>
          <w:szCs w:val="18"/>
          <w:color w:val="auto"/>
        </w:rPr>
        <w:t>”, together with FutureX Capital 1, FutureX Capital 2, FutureX Capital 3 and FutureX Capital 4, “</w:t>
      </w:r>
      <w:r>
        <w:rPr>
          <w:rFonts w:ascii="Arial" w:cs="Arial" w:eastAsia="Arial" w:hAnsi="Arial"/>
          <w:sz w:val="18"/>
          <w:szCs w:val="18"/>
          <w:b w:val="1"/>
          <w:bCs w:val="1"/>
          <w:color w:val="auto"/>
        </w:rPr>
        <w:t>FutureX Capital</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24" w:right="60" w:hanging="424"/>
        <w:spacing w:after="0" w:line="230" w:lineRule="exact"/>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China Internet Investment Fund. ( </w:t>
      </w:r>
      <w:r>
        <w:rPr>
          <w:rFonts w:ascii="SimSun" w:cs="SimSun" w:eastAsia="SimSun" w:hAnsi="SimSun"/>
          <w:sz w:val="18"/>
          <w:szCs w:val="18"/>
          <w:color w:val="auto"/>
        </w:rPr>
        <w:t>中 国 互 联 网 投 资 基 金 （ 有 限 合 伙 ）</w:t>
      </w:r>
      <w:r>
        <w:rPr>
          <w:rFonts w:ascii="Arial" w:cs="Arial" w:eastAsia="Arial" w:hAnsi="Arial"/>
          <w:sz w:val="18"/>
          <w:szCs w:val="18"/>
          <w:color w:val="auto"/>
        </w:rPr>
        <w:t xml:space="preserve"> ), a limited partnership duly organized and validly existing under the laws of the PRC; and</w:t>
      </w:r>
    </w:p>
    <w:p>
      <w:pPr>
        <w:spacing w:after="0" w:line="108" w:lineRule="exact"/>
        <w:rPr>
          <w:rFonts w:ascii="Arial" w:cs="Arial" w:eastAsia="Arial" w:hAnsi="Arial"/>
          <w:sz w:val="18"/>
          <w:szCs w:val="18"/>
          <w:color w:val="auto"/>
        </w:rPr>
      </w:pPr>
    </w:p>
    <w:p>
      <w:pPr>
        <w:ind w:left="424" w:hanging="424"/>
        <w:spacing w:after="0"/>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DESIGN TIME LIMITED, a company incorporated and existing under the laws of the British Virgin Islands.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of the Parties to this Agreement is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1" w:lineRule="exact"/>
        <w:rPr>
          <w:sz w:val="20"/>
          <w:szCs w:val="20"/>
          <w:color w:val="auto"/>
        </w:rPr>
      </w:pPr>
    </w:p>
    <w:p>
      <w:pPr>
        <w:ind w:left="424" w:right="100" w:hanging="424"/>
        <w:spacing w:after="0" w:line="282" w:lineRule="auto"/>
        <w:tabs>
          <w:tab w:leader="none" w:pos="42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Buddies Team Limited (the “</w:t>
      </w:r>
      <w:r>
        <w:rPr>
          <w:rFonts w:ascii="Arial" w:cs="Arial" w:eastAsia="Arial" w:hAnsi="Arial"/>
          <w:sz w:val="18"/>
          <w:szCs w:val="18"/>
          <w:b w:val="1"/>
          <w:bCs w:val="1"/>
          <w:color w:val="auto"/>
        </w:rPr>
        <w:t>CM Investor</w:t>
      </w:r>
      <w:r>
        <w:rPr>
          <w:rFonts w:ascii="Arial" w:cs="Arial" w:eastAsia="Arial" w:hAnsi="Arial"/>
          <w:sz w:val="18"/>
          <w:szCs w:val="18"/>
          <w:color w:val="auto"/>
        </w:rPr>
        <w:t>”) and the Parties other than FutureX Capital 5 are parties to that certain Ninth Amended and Restated Shareholders Agreement dated December 27, 2019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FutureX Capital 5 purchased from the CM Investor certain series C preferred shares of the Company, after which the CM Investor no longer holds any shares of the Company as of the date hereof;</w:t>
      </w:r>
    </w:p>
    <w:p>
      <w:pPr>
        <w:spacing w:after="0" w:line="75" w:lineRule="exact"/>
        <w:rPr>
          <w:rFonts w:ascii="Arial" w:cs="Arial" w:eastAsia="Arial" w:hAnsi="Arial"/>
          <w:sz w:val="18"/>
          <w:szCs w:val="18"/>
          <w:color w:val="auto"/>
        </w:rPr>
      </w:pPr>
    </w:p>
    <w:p>
      <w:pPr>
        <w:ind w:left="424" w:right="160" w:hanging="424"/>
        <w:spacing w:after="0" w:line="342" w:lineRule="auto"/>
        <w:tabs>
          <w:tab w:leader="none" w:pos="42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FutureX Capital 5 and the Company entered into certain deed of adherence on March 26, 2020, pursuant to which, among other things, FutureX Capital 5 assumes all rights and obligations under the terms and conditions of the Shareholders Agreement as the assign of the CM Investor</w:t>
      </w:r>
      <w:r>
        <w:rPr>
          <w:rFonts w:ascii="Arial" w:cs="Arial" w:eastAsia="Arial" w:hAnsi="Arial"/>
          <w:sz w:val="16"/>
          <w:szCs w:val="16"/>
          <w:i w:val="1"/>
          <w:iCs w:val="1"/>
          <w:color w:val="auto"/>
        </w:rPr>
        <w:t>.</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413" w:name="page414"/>
    <w:bookmarkEnd w:id="413"/>
    <w:p>
      <w:pPr>
        <w:ind w:left="4" w:right="1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w:t>
      </w:r>
      <w:r>
        <w:rPr>
          <w:rFonts w:ascii="Arial" w:cs="Arial" w:eastAsia="Arial" w:hAnsi="Arial"/>
          <w:sz w:val="18"/>
          <w:szCs w:val="18"/>
          <w:color w:val="auto"/>
        </w:rPr>
        <w:t>, in consideration of the foregoing recitals, the mutual promises hereinafter set forth,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hereby agree as follows:</w:t>
      </w:r>
    </w:p>
    <w:p>
      <w:pPr>
        <w:spacing w:after="0" w:line="71" w:lineRule="exact"/>
        <w:rPr>
          <w:sz w:val="20"/>
          <w:szCs w:val="20"/>
          <w:color w:val="auto"/>
        </w:rPr>
      </w:pPr>
    </w:p>
    <w:p>
      <w:pPr>
        <w:ind w:left="424" w:right="180" w:hanging="424"/>
        <w:spacing w:after="0" w:line="259"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Shareholders Agreement (except for Section 12 (Additional Covenants) and Section 13.14 (FutureX Proxy)) shall be terminated without further force and effect as of the completion of an initial public offering and listing of Ordinary Shares of the Company or listing of such shares for public trading on stock exchange in the United States of America or on an internationally or regionally recognized stock exchange in another jurisdiction.</w:t>
      </w:r>
    </w:p>
    <w:p>
      <w:pPr>
        <w:spacing w:after="0" w:line="92"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of the Parties hereby agrees to, upon the termination of the Shareholders Agreement, forego and waive any and all claims against any other Party for any possible loss arising from or in connection with the performance of the Shareholders Agreement that may have occurred prior to the date of termination of the Shareholders Agreement.</w:t>
      </w:r>
    </w:p>
    <w:p>
      <w:pPr>
        <w:spacing w:after="0" w:line="89" w:lineRule="exact"/>
        <w:rPr>
          <w:rFonts w:ascii="Arial" w:cs="Arial" w:eastAsia="Arial" w:hAnsi="Arial"/>
          <w:sz w:val="18"/>
          <w:szCs w:val="18"/>
          <w:color w:val="auto"/>
        </w:rPr>
      </w:pPr>
    </w:p>
    <w:p>
      <w:pPr>
        <w:ind w:left="424" w:right="140" w:hanging="424"/>
        <w:spacing w:after="0" w:line="263"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exclusively in accordance the laws of Hong Kong without giving effect to any choice of law rule that would cause the application of the laws of any jurisdiction other than the laws of Hong Kong to the rights and duties of the Parties hereunder.</w:t>
      </w:r>
    </w:p>
    <w:p>
      <w:pPr>
        <w:spacing w:after="0" w:line="8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All disputes and controversies arising out of or in connection with this Agreement shall be referred to and finally settled by arbitration at Hong Kong International Arbitration Centre in accordance with the UNCITRAL Arbitration Rules then in effect.</w:t>
      </w:r>
    </w:p>
    <w:p>
      <w:pPr>
        <w:spacing w:after="0" w:line="7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 Facsimile and e-mailed copies of signatures shall be deemed to be originals for purposes of the effectiveness of this Agreement.</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KINGSOFT CLOUD HOLDINGS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Seal of Kingsoft Cloud Holdings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KINGSOFT CLOUD CORPORATION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Yuk Keung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KINGSOFT CLOUD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BEIJING JINSHANYUN TECHNOLOGY CO.,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 Seal of Beijing Kingsoft Cloud Technology Co., Ltd.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BEIJING YUNXIANGZHISHENG TECHNOLOGY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Seal of Beijing Yunxiang Zhisheng Technology Co., Ltd.</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1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940"/>
          </w:cols>
          <w:pgMar w:left="440" w:top="274" w:right="51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ZHUHAI JINSHANYUN TECHNOLOGY CO.,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Seal of Zhuhai Kingsoft Cloud Technology Co.,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JINSHANYUN (BEIJING) INFORMATION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TECHNOLOGY 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Seal of Kingsoft Cloud (Beijing) Information Technology</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BEIJING JINSHANYUN INTERNET TECHNOLOGY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Seal of Beijing Kingsoft Cloud Network Technology Co.,</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BEIJING JINXUN RUIBO INTERNET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TECHNOLOGY 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 Seal of Beijing Jinxun Ruibo Network Technology Co.,</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1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980"/>
          </w:cols>
          <w:pgMar w:left="440" w:top="274" w:right="47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SHANGHAI RUIDIAN NETWORK TECHNOLOGY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Seal of Shanghai Ruidian Network Technology Co., Ltd.</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NANJING QIANYI SHIXUN INFORMATION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TECHNOLOGY 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 Seal of Nanjing Qianyi Shixun Information Technology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SUZHOU YUNXIANG ZHISHENG INTERNET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TECHNOLOGY 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Seal of Suzhou Yunxiang Zhisheng Network Technology</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HAINAN CHENGMAI YUNXIANG ZHISHENG</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INTERNET TECHNOLOGY 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Seal of Hainan Chengmai Yunxiang Zhisheng Network</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Technology Co., Ltd.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Legal Representative</w:t>
      </w:r>
    </w:p>
    <w:p>
      <w:pPr>
        <w:spacing w:after="0" w:line="1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940"/>
          </w:cols>
          <w:pgMar w:left="440" w:top="274" w:right="51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KINGSOFT CORPORATION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Yuk Keung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18" w:name="page419"/>
    <w:bookmarkEnd w:id="4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ZHANG HONGJIANG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/s/ ZHANG HONGJIANG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22225</wp:posOffset>
            </wp:positionV>
            <wp:extent cx="256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7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19" w:name="page420"/>
    <w:bookmarkEnd w:id="4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Patties hereto have executed this Agreement as of the date herein above first written.</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AUTOGOLD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WANG Yulin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0" w:name="page421"/>
    <w:bookmarkEnd w:id="4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WANG Yulin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1" w:name="page422"/>
    <w:bookmarkEnd w:id="4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TMF Trust (HK)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Ho Suk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Liu Kin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Name: Ho Suk Ching/ Liu Kin Wai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Authorised Signature</w:t>
      </w:r>
    </w:p>
    <w:p>
      <w:pPr>
        <w:spacing w:after="0" w:line="38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RIVER JADE HOLDINGS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WANG Yulin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WANG Yulin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3" w:name="page424"/>
    <w:bookmarkEnd w:id="4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XIAOMI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Shou Zi Chew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4" w:name="page425"/>
    <w:bookmarkEnd w:id="4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CELESTIAL POWER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Chi Sing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Chi Sing Ho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Authorised Signatory</w:t>
      </w:r>
    </w:p>
    <w:p>
      <w:pPr>
        <w:spacing w:after="0" w:line="38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CHINAAMC SPECIAL INVESTMENT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Xiaoling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560"/>
          </w:cols>
          <w:pgMar w:left="440" w:top="274" w:right="89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METAWIT Capital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Tseng, Kuo-Lung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Tseng, Kuo-Lung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Authorized Signatory of METAWIT Management Ltd</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acting as General Partner for and on behalf of METAWIT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Capital L.P.</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940"/>
          </w:cols>
          <w:pgMar w:left="440" w:top="274" w:right="519" w:bottom="1440" w:gutter="0" w:footer="0" w:header="0"/>
        </w:sectPr>
      </w:pPr>
    </w:p>
    <w:bookmarkStart w:id="427" w:name="page428"/>
    <w:bookmarkEnd w:id="4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NEW CLOUD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Dingzhe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Dingzhe Liu</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8" w:name="page429"/>
    <w:bookmarkEnd w:id="42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Shunwei Growth III Limited</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Tuck Lye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Tuck Lye KOH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29" w:name="page430"/>
    <w:bookmarkEnd w:id="42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PRECIOUS STEED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Ip Kun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Ip Kun Wan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Authorised Signature</w:t>
      </w:r>
    </w:p>
    <w:p>
      <w:pPr>
        <w:spacing w:after="0" w:line="38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Futurex Innovation SPC - Special Opportunity Fund VI</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Qian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Zhang Qian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FutureX AI Opportunity Fund LP </w:t>
      </w:r>
      <w:r>
        <w:rPr>
          <w:rFonts w:ascii="Arial" w:cs="Arial" w:eastAsia="Arial" w:hAnsi="Arial"/>
          <w:sz w:val="18"/>
          <w:szCs w:val="18"/>
          <w:color w:val="auto"/>
        </w:rPr>
        <w:t>(acting through</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FutureX Innovation Limited as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Qian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Zhang Qian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 xml:space="preserve">FutureX Innovation SPC </w:t>
      </w:r>
      <w:r>
        <w:rPr>
          <w:rFonts w:ascii="Arial" w:cs="Arial" w:eastAsia="Arial" w:hAnsi="Arial"/>
          <w:sz w:val="16"/>
          <w:szCs w:val="16"/>
          <w:color w:val="auto"/>
        </w:rPr>
        <w:t>(acting for and on behalf of New</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Technology Fund I SP as one of its segregated portfolios)</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Qian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Zhang Qian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Howater Innovation I Limited Partnership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Qian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Zhang Qian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 xml:space="preserve">Futurex Innovation SPC </w:t>
      </w:r>
      <w:r>
        <w:rPr>
          <w:rFonts w:ascii="Arial" w:cs="Arial" w:eastAsia="Arial" w:hAnsi="Arial"/>
          <w:sz w:val="16"/>
          <w:szCs w:val="16"/>
          <w:color w:val="auto"/>
        </w:rPr>
        <w:t>(for the account of and on behalf</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 Special Opportunity Fund V SP)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Zhang Qian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Zhang Qian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940"/>
          </w:cols>
          <w:pgMar w:left="440" w:top="274" w:right="51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China Internet Investment Fund.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Seal: /s/ Seal of China Internet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29210</wp:posOffset>
            </wp:positionV>
            <wp:extent cx="25114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160"/>
          </w:cols>
          <w:pgMar w:left="440" w:top="274" w:right="1299" w:bottom="1440" w:gutter="0" w:footer="0" w:header="0"/>
        </w:sectPr>
      </w:pPr>
    </w:p>
    <w:bookmarkStart w:id="432" w:name="page433"/>
    <w:bookmarkEnd w:id="4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herein above first written.</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DESIGN TIME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Li Ngai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TERMINATION AGREEMENT</w:t>
      </w:r>
    </w:p>
    <w:p>
      <w:pPr>
        <w:sectPr>
          <w:pgSz w:w="11900" w:h="16838" w:orient="portrait"/>
          <w:cols w:equalWidth="0" w:num="1">
            <w:col w:w="10019"/>
          </w:cols>
          <w:pgMar w:left="440" w:top="274" w:right="1440" w:bottom="1440" w:gutter="0" w:footer="0" w:header="0"/>
        </w:sectPr>
      </w:pPr>
    </w:p>
    <w:bookmarkStart w:id="433" w:name="page434"/>
    <w:bookmarkEnd w:id="433"/>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56" w:lineRule="exact"/>
        <w:rPr>
          <w:sz w:val="20"/>
          <w:szCs w:val="20"/>
          <w:color w:val="auto"/>
        </w:rPr>
      </w:pPr>
    </w:p>
    <w:p>
      <w:pPr>
        <w:ind w:left="424" w:hanging="424"/>
        <w:spacing w:after="0"/>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Kingsoft Cloud Corporation Limited, a limited liability company organized under the laws of Hong Kong;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Kingsoft Cloud INC., a limited liability company organized under the laws of the State of Washington, United States;</w:t>
      </w:r>
    </w:p>
    <w:p>
      <w:pPr>
        <w:spacing w:after="0" w:line="144" w:lineRule="exact"/>
        <w:rPr>
          <w:rFonts w:ascii="Arial" w:cs="Arial" w:eastAsia="Arial" w:hAnsi="Arial"/>
          <w:sz w:val="18"/>
          <w:szCs w:val="18"/>
          <w:color w:val="auto"/>
        </w:rPr>
      </w:pPr>
    </w:p>
    <w:p>
      <w:pPr>
        <w:ind w:left="424" w:hanging="424"/>
        <w:spacing w:after="0" w:line="194" w:lineRule="exact"/>
        <w:tabs>
          <w:tab w:leader="none" w:pos="42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Beijing Jinshanyun Technology Co., Ltd. (</w:t>
      </w:r>
      <w:r>
        <w:rPr>
          <w:rFonts w:ascii="SimSun" w:cs="SimSun" w:eastAsia="SimSun" w:hAnsi="SimSun"/>
          <w:sz w:val="16"/>
          <w:szCs w:val="16"/>
          <w:color w:val="auto"/>
        </w:rPr>
        <w:t>北京金山云科技有限公司</w:t>
      </w:r>
      <w:r>
        <w:rPr>
          <w:rFonts w:ascii="Arial" w:cs="Arial" w:eastAsia="Arial" w:hAnsi="Arial"/>
          <w:sz w:val="16"/>
          <w:szCs w:val="16"/>
          <w:color w:val="auto"/>
        </w:rPr>
        <w:t>), a wholly foreign-owned enterprise established under the laws of the PRC;</w:t>
      </w:r>
    </w:p>
    <w:p>
      <w:pPr>
        <w:spacing w:after="0" w:line="170" w:lineRule="exact"/>
        <w:rPr>
          <w:rFonts w:ascii="Arial" w:cs="Arial" w:eastAsia="Arial" w:hAnsi="Arial"/>
          <w:sz w:val="16"/>
          <w:szCs w:val="16"/>
          <w:color w:val="auto"/>
        </w:rPr>
      </w:pPr>
    </w:p>
    <w:p>
      <w:pPr>
        <w:ind w:left="424" w:right="20" w:hanging="424"/>
        <w:spacing w:after="0" w:line="230" w:lineRule="exact"/>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Beijing Yunxiang Zhisheng Technology Co., Ltd. ( </w:t>
      </w:r>
      <w:r>
        <w:rPr>
          <w:rFonts w:ascii="SimSun" w:cs="SimSun" w:eastAsia="SimSun" w:hAnsi="SimSun"/>
          <w:sz w:val="18"/>
          <w:szCs w:val="18"/>
          <w:color w:val="auto"/>
        </w:rPr>
        <w:t>北 京 云 享 智 胜 科 技 有 限 公 司</w:t>
      </w:r>
      <w:r>
        <w:rPr>
          <w:rFonts w:ascii="Arial" w:cs="Arial" w:eastAsia="Arial" w:hAnsi="Arial"/>
          <w:sz w:val="18"/>
          <w:szCs w:val="18"/>
          <w:color w:val="auto"/>
        </w:rPr>
        <w:t xml:space="preserve"> ), a wholly foreign-owned enterprise established under the laws of the PRC;</w:t>
      </w:r>
    </w:p>
    <w:p>
      <w:pPr>
        <w:spacing w:after="0" w:line="121" w:lineRule="exact"/>
        <w:rPr>
          <w:rFonts w:ascii="Arial" w:cs="Arial" w:eastAsia="Arial" w:hAnsi="Arial"/>
          <w:sz w:val="18"/>
          <w:szCs w:val="18"/>
          <w:color w:val="auto"/>
        </w:rPr>
      </w:pPr>
    </w:p>
    <w:p>
      <w:pPr>
        <w:ind w:left="424" w:hanging="424"/>
        <w:spacing w:after="0" w:line="207" w:lineRule="exact"/>
        <w:tabs>
          <w:tab w:leader="none" w:pos="42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Zhuhai Jinshanyun Technology Co., Ltd. (</w:t>
      </w:r>
      <w:r>
        <w:rPr>
          <w:rFonts w:ascii="SimSun" w:cs="SimSun" w:eastAsia="SimSun" w:hAnsi="SimSun"/>
          <w:sz w:val="17"/>
          <w:szCs w:val="17"/>
          <w:color w:val="auto"/>
        </w:rPr>
        <w:t>珠海金山云科技有限公司</w:t>
      </w:r>
      <w:r>
        <w:rPr>
          <w:rFonts w:ascii="Arial" w:cs="Arial" w:eastAsia="Arial" w:hAnsi="Arial"/>
          <w:sz w:val="17"/>
          <w:szCs w:val="17"/>
          <w:color w:val="auto"/>
        </w:rPr>
        <w:t>), a limited liability company established under the laws of the PRC;</w:t>
      </w:r>
    </w:p>
    <w:p>
      <w:pPr>
        <w:spacing w:after="0" w:line="158" w:lineRule="exact"/>
        <w:rPr>
          <w:rFonts w:ascii="Arial" w:cs="Arial" w:eastAsia="Arial" w:hAnsi="Arial"/>
          <w:sz w:val="17"/>
          <w:szCs w:val="17"/>
          <w:color w:val="auto"/>
        </w:rPr>
      </w:pPr>
    </w:p>
    <w:p>
      <w:pPr>
        <w:ind w:left="424" w:hanging="424"/>
        <w:spacing w:after="0" w:line="230" w:lineRule="exact"/>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Jinshanyun (Beijing) Information Technology Co., Ltd. (</w:t>
      </w:r>
      <w:r>
        <w:rPr>
          <w:rFonts w:ascii="SimSun" w:cs="SimSun" w:eastAsia="SimSun" w:hAnsi="SimSun"/>
          <w:sz w:val="18"/>
          <w:szCs w:val="18"/>
          <w:color w:val="auto"/>
        </w:rPr>
        <w:t>金山云</w:t>
      </w:r>
      <w:r>
        <w:rPr>
          <w:rFonts w:ascii="Arial" w:cs="Arial" w:eastAsia="Arial" w:hAnsi="Arial"/>
          <w:sz w:val="18"/>
          <w:szCs w:val="18"/>
          <w:color w:val="auto"/>
        </w:rPr>
        <w:t>(</w:t>
      </w:r>
      <w:r>
        <w:rPr>
          <w:rFonts w:ascii="SimSun" w:cs="SimSun" w:eastAsia="SimSun" w:hAnsi="SimSun"/>
          <w:sz w:val="18"/>
          <w:szCs w:val="18"/>
          <w:color w:val="auto"/>
        </w:rPr>
        <w:t>北京</w:t>
      </w:r>
      <w:r>
        <w:rPr>
          <w:rFonts w:ascii="Arial" w:cs="Arial" w:eastAsia="Arial" w:hAnsi="Arial"/>
          <w:sz w:val="18"/>
          <w:szCs w:val="18"/>
          <w:color w:val="auto"/>
        </w:rPr>
        <w:t>)</w:t>
      </w:r>
      <w:r>
        <w:rPr>
          <w:rFonts w:ascii="SimSun" w:cs="SimSun" w:eastAsia="SimSun" w:hAnsi="SimSun"/>
          <w:sz w:val="18"/>
          <w:szCs w:val="18"/>
          <w:color w:val="auto"/>
        </w:rPr>
        <w:t>信息技术有限公 司</w:t>
      </w:r>
      <w:r>
        <w:rPr>
          <w:rFonts w:ascii="Arial" w:cs="Arial" w:eastAsia="Arial" w:hAnsi="Arial"/>
          <w:sz w:val="18"/>
          <w:szCs w:val="18"/>
          <w:color w:val="auto"/>
        </w:rPr>
        <w:t>), a limited liability company established under the laws of the PRC;</w:t>
      </w:r>
    </w:p>
    <w:p>
      <w:pPr>
        <w:spacing w:after="0" w:line="121" w:lineRule="exact"/>
        <w:rPr>
          <w:rFonts w:ascii="Arial" w:cs="Arial" w:eastAsia="Arial" w:hAnsi="Arial"/>
          <w:sz w:val="18"/>
          <w:szCs w:val="18"/>
          <w:color w:val="auto"/>
        </w:rPr>
      </w:pPr>
    </w:p>
    <w:p>
      <w:pPr>
        <w:ind w:left="424" w:right="120" w:hanging="424"/>
        <w:spacing w:after="0" w:line="230" w:lineRule="exact"/>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Beijing Jinshanyun Internet Technology Co., Ltd. (</w:t>
      </w:r>
      <w:r>
        <w:rPr>
          <w:rFonts w:ascii="SimSun" w:cs="SimSun" w:eastAsia="SimSun" w:hAnsi="SimSun"/>
          <w:sz w:val="18"/>
          <w:szCs w:val="18"/>
          <w:color w:val="auto"/>
        </w:rPr>
        <w:t>北京金山云网络技术有限公司</w:t>
      </w:r>
      <w:r>
        <w:rPr>
          <w:rFonts w:ascii="Arial" w:cs="Arial" w:eastAsia="Arial" w:hAnsi="Arial"/>
          <w:sz w:val="18"/>
          <w:szCs w:val="18"/>
          <w:color w:val="auto"/>
        </w:rPr>
        <w:t>), a limited liability company established under the laws of the PRC;</w:t>
      </w:r>
    </w:p>
    <w:p>
      <w:pPr>
        <w:spacing w:after="0" w:line="121" w:lineRule="exact"/>
        <w:rPr>
          <w:rFonts w:ascii="Arial" w:cs="Arial" w:eastAsia="Arial" w:hAnsi="Arial"/>
          <w:sz w:val="18"/>
          <w:szCs w:val="18"/>
          <w:color w:val="auto"/>
        </w:rPr>
      </w:pPr>
    </w:p>
    <w:p>
      <w:pPr>
        <w:ind w:left="424" w:right="60" w:hanging="424"/>
        <w:spacing w:after="0" w:line="230" w:lineRule="exact"/>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Beijing Jinxun Ruibo Internet Technology Co., Ltd. (</w:t>
      </w:r>
      <w:r>
        <w:rPr>
          <w:rFonts w:ascii="SimSun" w:cs="SimSun" w:eastAsia="SimSun" w:hAnsi="SimSun"/>
          <w:sz w:val="18"/>
          <w:szCs w:val="18"/>
          <w:color w:val="auto"/>
        </w:rPr>
        <w:t>北京金迅瑞博网络技术有限公司</w:t>
      </w:r>
      <w:r>
        <w:rPr>
          <w:rFonts w:ascii="Arial" w:cs="Arial" w:eastAsia="Arial" w:hAnsi="Arial"/>
          <w:sz w:val="18"/>
          <w:szCs w:val="18"/>
          <w:color w:val="auto"/>
        </w:rPr>
        <w:t>), a limited liability company established under the laws of the PRC;</w:t>
      </w:r>
    </w:p>
    <w:p>
      <w:pPr>
        <w:spacing w:after="0" w:line="121" w:lineRule="exact"/>
        <w:rPr>
          <w:rFonts w:ascii="Arial" w:cs="Arial" w:eastAsia="Arial" w:hAnsi="Arial"/>
          <w:sz w:val="18"/>
          <w:szCs w:val="18"/>
          <w:color w:val="auto"/>
        </w:rPr>
      </w:pPr>
    </w:p>
    <w:p>
      <w:pPr>
        <w:ind w:left="424" w:hanging="424"/>
        <w:spacing w:after="0" w:line="194" w:lineRule="exact"/>
        <w:tabs>
          <w:tab w:leader="none" w:pos="42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Shanghai Ruidian Network Technology Co., Ltd. (</w:t>
      </w:r>
      <w:r>
        <w:rPr>
          <w:rFonts w:ascii="SimSun" w:cs="SimSun" w:eastAsia="SimSun" w:hAnsi="SimSun"/>
          <w:sz w:val="16"/>
          <w:szCs w:val="16"/>
          <w:color w:val="auto"/>
        </w:rPr>
        <w:t>上海锐巅网络科技有限公司</w:t>
      </w:r>
      <w:r>
        <w:rPr>
          <w:rFonts w:ascii="Arial" w:cs="Arial" w:eastAsia="Arial" w:hAnsi="Arial"/>
          <w:sz w:val="16"/>
          <w:szCs w:val="16"/>
          <w:color w:val="auto"/>
        </w:rPr>
        <w:t>), a joint venture company established under the laws of the PRC;</w:t>
      </w:r>
    </w:p>
    <w:p>
      <w:pPr>
        <w:spacing w:after="0" w:line="170" w:lineRule="exact"/>
        <w:rPr>
          <w:rFonts w:ascii="Arial" w:cs="Arial" w:eastAsia="Arial" w:hAnsi="Arial"/>
          <w:sz w:val="16"/>
          <w:szCs w:val="16"/>
          <w:color w:val="auto"/>
        </w:rPr>
      </w:pPr>
    </w:p>
    <w:p>
      <w:pPr>
        <w:ind w:left="424" w:right="160" w:hanging="424"/>
        <w:spacing w:after="0" w:line="230" w:lineRule="exact"/>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Nanjing Qianyi Shixun Information Technology Co., Ltd. (</w:t>
      </w:r>
      <w:r>
        <w:rPr>
          <w:rFonts w:ascii="SimSun" w:cs="SimSun" w:eastAsia="SimSun" w:hAnsi="SimSun"/>
          <w:sz w:val="18"/>
          <w:szCs w:val="18"/>
          <w:color w:val="auto"/>
        </w:rPr>
        <w:t>南京仟壹视讯信息技术有限 公司</w:t>
      </w:r>
      <w:r>
        <w:rPr>
          <w:rFonts w:ascii="Arial" w:cs="Arial" w:eastAsia="Arial" w:hAnsi="Arial"/>
          <w:sz w:val="18"/>
          <w:szCs w:val="18"/>
          <w:color w:val="auto"/>
        </w:rPr>
        <w:t>), a limited liability company established under the laws of the PRC;</w:t>
      </w:r>
    </w:p>
    <w:p>
      <w:pPr>
        <w:spacing w:after="0" w:line="121" w:lineRule="exact"/>
        <w:rPr>
          <w:rFonts w:ascii="Arial" w:cs="Arial" w:eastAsia="Arial" w:hAnsi="Arial"/>
          <w:sz w:val="18"/>
          <w:szCs w:val="18"/>
          <w:color w:val="auto"/>
        </w:rPr>
      </w:pPr>
    </w:p>
    <w:p>
      <w:pPr>
        <w:ind w:left="424" w:right="140" w:hanging="424"/>
        <w:spacing w:after="0" w:line="230" w:lineRule="exact"/>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Suzhou Yunxiang Zhisheng Internet Technology Co., Ltd. (</w:t>
      </w:r>
      <w:r>
        <w:rPr>
          <w:rFonts w:ascii="SimSun" w:cs="SimSun" w:eastAsia="SimSun" w:hAnsi="SimSun"/>
          <w:sz w:val="18"/>
          <w:szCs w:val="18"/>
          <w:color w:val="auto"/>
        </w:rPr>
        <w:t>宿州云享智胜网络技术有限 公司</w:t>
      </w:r>
      <w:r>
        <w:rPr>
          <w:rFonts w:ascii="Arial" w:cs="Arial" w:eastAsia="Arial" w:hAnsi="Arial"/>
          <w:sz w:val="18"/>
          <w:szCs w:val="18"/>
          <w:color w:val="auto"/>
        </w:rPr>
        <w:t>), a limited liability company established under the laws of the PRC; and</w:t>
      </w:r>
    </w:p>
    <w:p>
      <w:pPr>
        <w:spacing w:after="0" w:line="121" w:lineRule="exact"/>
        <w:rPr>
          <w:rFonts w:ascii="Arial" w:cs="Arial" w:eastAsia="Arial" w:hAnsi="Arial"/>
          <w:sz w:val="18"/>
          <w:szCs w:val="18"/>
          <w:color w:val="auto"/>
        </w:rPr>
      </w:pPr>
    </w:p>
    <w:p>
      <w:pPr>
        <w:ind w:left="424" w:right="580" w:hanging="424"/>
        <w:spacing w:after="0" w:line="230" w:lineRule="exact"/>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Hainan Chengmai Yunxiang Zhisheng Internet Technology Co., Ltd. (</w:t>
      </w:r>
      <w:r>
        <w:rPr>
          <w:rFonts w:ascii="SimSun" w:cs="SimSun" w:eastAsia="SimSun" w:hAnsi="SimSun"/>
          <w:sz w:val="18"/>
          <w:szCs w:val="18"/>
          <w:color w:val="auto"/>
        </w:rPr>
        <w:t>海南澄迈云享智 胜网络技术有限公司</w:t>
      </w:r>
      <w:r>
        <w:rPr>
          <w:rFonts w:ascii="Arial" w:cs="Arial" w:eastAsia="Arial" w:hAnsi="Arial"/>
          <w:sz w:val="18"/>
          <w:szCs w:val="18"/>
          <w:color w:val="auto"/>
        </w:rPr>
        <w:t>), a limited liability company established under the laws of PRC.</w:t>
      </w:r>
    </w:p>
    <w:p>
      <w:pPr>
        <w:sectPr>
          <w:pgSz w:w="11900" w:h="16838" w:orient="portrait"/>
          <w:cols w:equalWidth="0" w:num="1">
            <w:col w:w="11004"/>
          </w:cols>
          <w:pgMar w:left="436" w:top="270" w:right="45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10, 2020 (except Note 21, as to which the date is April 17, 2020), in Amendment No. 2 to the Registration Statement (Form F-1 No. 333-237726) and related Prospectus of Kingsoft Cloud Holdings Limited dated May 4,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30F856C"/>
    <w:multiLevelType w:val="hybridMultilevel"/>
    <w:lvl w:ilvl="0">
      <w:lvlJc w:val="left"/>
      <w:lvlText w:val="†"/>
      <w:numFmt w:val="bullet"/>
      <w:start w:val="1"/>
    </w:lvl>
  </w:abstractNum>
  <w:abstractNum w:abstractNumId="1">
    <w:nsid w:val="6EAA85FB"/>
    <w:multiLevelType w:val="hybridMultilevel"/>
    <w:lvl w:ilvl="0">
      <w:lvlJc w:val="left"/>
      <w:lvlText w:val="(%1)"/>
      <w:numFmt w:val="decimal"/>
      <w:start w:val="1"/>
    </w:lvl>
  </w:abstractNum>
  <w:abstractNum w:abstractNumId="2">
    <w:nsid w:val="3F06ECB2"/>
    <w:multiLevelType w:val="hybridMultilevel"/>
    <w:lvl w:ilvl="0">
      <w:lvlJc w:val="left"/>
      <w:lvlText w:val="(%1)"/>
      <w:numFmt w:val="decimal"/>
      <w:start w:val="1"/>
    </w:lvl>
  </w:abstractNum>
  <w:abstractNum w:abstractNumId="3">
    <w:nsid w:val="3B594807"/>
    <w:multiLevelType w:val="hybridMultilevel"/>
    <w:lvl w:ilvl="0">
      <w:lvlJc w:val="left"/>
      <w:lvlText w:val="(%1)"/>
      <w:numFmt w:val="lowerRoman"/>
      <w:start w:val="1"/>
    </w:lvl>
  </w:abstractNum>
  <w:abstractNum w:abstractNumId="4">
    <w:nsid w:val="6CAA2304"/>
    <w:multiLevelType w:val="hybridMultilevel"/>
    <w:lvl w:ilvl="0">
      <w:lvlJc w:val="left"/>
      <w:lvlText w:val="•"/>
      <w:numFmt w:val="bullet"/>
      <w:start w:val="1"/>
    </w:lvl>
  </w:abstractNum>
  <w:abstractNum w:abstractNumId="5">
    <w:nsid w:val="3F7C2FF4"/>
    <w:multiLevelType w:val="hybridMultilevel"/>
    <w:lvl w:ilvl="0">
      <w:lvlJc w:val="left"/>
      <w:lvlText w:val="•"/>
      <w:numFmt w:val="bullet"/>
      <w:start w:val="1"/>
    </w:lvl>
  </w:abstractNum>
  <w:abstractNum w:abstractNumId="6">
    <w:nsid w:val="25413BEC"/>
    <w:multiLevelType w:val="hybridMultilevel"/>
    <w:lvl w:ilvl="0">
      <w:lvlJc w:val="left"/>
      <w:lvlText w:val="•"/>
      <w:numFmt w:val="bullet"/>
      <w:start w:val="1"/>
    </w:lvl>
  </w:abstractNum>
  <w:abstractNum w:abstractNumId="7">
    <w:nsid w:val="17180B0B"/>
    <w:multiLevelType w:val="hybridMultilevel"/>
    <w:lvl w:ilvl="0">
      <w:lvlJc w:val="left"/>
      <w:lvlText w:val="•"/>
      <w:numFmt w:val="bullet"/>
      <w:start w:val="1"/>
    </w:lvl>
  </w:abstractNum>
  <w:abstractNum w:abstractNumId="8">
    <w:nsid w:val="579328B9"/>
    <w:multiLevelType w:val="hybridMultilevel"/>
    <w:lvl w:ilvl="0">
      <w:lvlJc w:val="left"/>
      <w:lvlText w:val="•"/>
      <w:numFmt w:val="bullet"/>
      <w:start w:val="1"/>
    </w:lvl>
  </w:abstractNum>
  <w:abstractNum w:abstractNumId="9">
    <w:nsid w:val="5D205E20"/>
    <w:multiLevelType w:val="hybridMultilevel"/>
    <w:lvl w:ilvl="0">
      <w:lvlJc w:val="left"/>
      <w:lvlText w:val="•"/>
      <w:numFmt w:val="bullet"/>
      <w:start w:val="1"/>
    </w:lvl>
  </w:abstractNum>
  <w:abstractNum w:abstractNumId="10">
    <w:nsid w:val="11CCA8BA"/>
    <w:multiLevelType w:val="hybridMultilevel"/>
    <w:lvl w:ilvl="0">
      <w:lvlJc w:val="left"/>
      <w:lvlText w:val="(%1)"/>
      <w:numFmt w:val="decimal"/>
      <w:start w:val="1"/>
    </w:lvl>
  </w:abstractNum>
  <w:abstractNum w:abstractNumId="11">
    <w:nsid w:val="4D32AB86"/>
    <w:multiLevelType w:val="hybridMultilevel"/>
    <w:lvl w:ilvl="0">
      <w:lvlJc w:val="left"/>
      <w:lvlText w:val="(%1)"/>
      <w:numFmt w:val="decimal"/>
      <w:start w:val="4"/>
    </w:lvl>
  </w:abstractNum>
  <w:abstractNum w:abstractNumId="12">
    <w:nsid w:val="3F07ACC3"/>
    <w:multiLevelType w:val="hybridMultilevel"/>
    <w:lvl w:ilvl="0">
      <w:lvlJc w:val="left"/>
      <w:lvlText w:val="•"/>
      <w:numFmt w:val="bullet"/>
      <w:start w:val="1"/>
    </w:lvl>
  </w:abstractNum>
  <w:abstractNum w:abstractNumId="13">
    <w:nsid w:val="6B47F63E"/>
    <w:multiLevelType w:val="hybridMultilevel"/>
    <w:lvl w:ilvl="0">
      <w:lvlJc w:val="left"/>
      <w:lvlText w:val="•"/>
      <w:numFmt w:val="bullet"/>
      <w:start w:val="1"/>
    </w:lvl>
  </w:abstractNum>
  <w:abstractNum w:abstractNumId="14">
    <w:nsid w:val="5CB44A05"/>
    <w:multiLevelType w:val="hybridMultilevel"/>
    <w:lvl w:ilvl="0">
      <w:lvlJc w:val="left"/>
      <w:lvlText w:val="•"/>
      <w:numFmt w:val="bullet"/>
      <w:start w:val="1"/>
    </w:lvl>
  </w:abstractNum>
  <w:abstractNum w:abstractNumId="15">
    <w:nsid w:val="16CF80F1"/>
    <w:multiLevelType w:val="hybridMultilevel"/>
    <w:lvl w:ilvl="0">
      <w:lvlJc w:val="left"/>
      <w:lvlText w:val="(%1)"/>
      <w:numFmt w:val="lowerRoman"/>
      <w:start w:val="2"/>
    </w:lvl>
  </w:abstractNum>
  <w:abstractNum w:abstractNumId="16">
    <w:nsid w:val="1C695DEC"/>
    <w:multiLevelType w:val="hybridMultilevel"/>
    <w:lvl w:ilvl="0">
      <w:lvlJc w:val="left"/>
      <w:lvlText w:val="(%1)"/>
      <w:numFmt w:val="decimal"/>
      <w:start w:val="1"/>
    </w:lvl>
  </w:abstractNum>
  <w:abstractNum w:abstractNumId="17">
    <w:nsid w:val="3FCFAED9"/>
    <w:multiLevelType w:val="hybridMultilevel"/>
    <w:lvl w:ilvl="0">
      <w:lvlJc w:val="left"/>
      <w:lvlText w:val="(%1)"/>
      <w:numFmt w:val="decimal"/>
      <w:start w:val="1"/>
    </w:lvl>
  </w:abstractNum>
  <w:abstractNum w:abstractNumId="18">
    <w:nsid w:val="F856867"/>
    <w:multiLevelType w:val="hybridMultilevel"/>
    <w:lvl w:ilvl="0">
      <w:lvlJc w:val="left"/>
      <w:lvlText w:val="•"/>
      <w:numFmt w:val="bullet"/>
      <w:start w:val="1"/>
    </w:lvl>
  </w:abstractNum>
  <w:abstractNum w:abstractNumId="19">
    <w:nsid w:val="11B1CC33"/>
    <w:multiLevelType w:val="hybridMultilevel"/>
    <w:lvl w:ilvl="0">
      <w:lvlJc w:val="left"/>
      <w:lvlText w:val="•"/>
      <w:numFmt w:val="bullet"/>
      <w:start w:val="1"/>
    </w:lvl>
  </w:abstractNum>
  <w:abstractNum w:abstractNumId="20">
    <w:nsid w:val="2E22FBB7"/>
    <w:multiLevelType w:val="hybridMultilevel"/>
    <w:lvl w:ilvl="0">
      <w:lvlJc w:val="left"/>
      <w:lvlText w:val="•"/>
      <w:numFmt w:val="bullet"/>
      <w:start w:val="1"/>
    </w:lvl>
  </w:abstractNum>
  <w:abstractNum w:abstractNumId="21">
    <w:nsid w:val="29934699"/>
    <w:multiLevelType w:val="hybridMultilevel"/>
    <w:lvl w:ilvl="0">
      <w:lvlJc w:val="left"/>
      <w:lvlText w:val="•"/>
      <w:numFmt w:val="bullet"/>
      <w:start w:val="1"/>
    </w:lvl>
  </w:abstractNum>
  <w:abstractNum w:abstractNumId="22">
    <w:nsid w:val="77485850"/>
    <w:multiLevelType w:val="hybridMultilevel"/>
    <w:lvl w:ilvl="0">
      <w:lvlJc w:val="left"/>
      <w:lvlText w:val="•"/>
      <w:numFmt w:val="bullet"/>
      <w:start w:val="1"/>
    </w:lvl>
  </w:abstractNum>
  <w:abstractNum w:abstractNumId="23">
    <w:nsid w:val="744939A3"/>
    <w:multiLevelType w:val="hybridMultilevel"/>
    <w:lvl w:ilvl="0">
      <w:lvlJc w:val="left"/>
      <w:lvlText w:val="•"/>
      <w:numFmt w:val="bullet"/>
      <w:start w:val="1"/>
    </w:lvl>
  </w:abstractNum>
  <w:abstractNum w:abstractNumId="24">
    <w:nsid w:val="4FA0D2E3"/>
    <w:multiLevelType w:val="hybridMultilevel"/>
    <w:lvl w:ilvl="0">
      <w:lvlJc w:val="left"/>
      <w:lvlText w:val="•"/>
      <w:numFmt w:val="bullet"/>
      <w:start w:val="1"/>
    </w:lvl>
  </w:abstractNum>
  <w:abstractNum w:abstractNumId="25">
    <w:nsid w:val="6B1D2C14"/>
    <w:multiLevelType w:val="hybridMultilevel"/>
    <w:lvl w:ilvl="0">
      <w:lvlJc w:val="left"/>
      <w:lvlText w:val="•"/>
      <w:numFmt w:val="bullet"/>
      <w:start w:val="1"/>
    </w:lvl>
  </w:abstractNum>
  <w:abstractNum w:abstractNumId="26">
    <w:nsid w:val="68B867D3"/>
    <w:multiLevelType w:val="hybridMultilevel"/>
    <w:lvl w:ilvl="0">
      <w:lvlJc w:val="left"/>
      <w:lvlText w:val="•"/>
      <w:numFmt w:val="bullet"/>
      <w:start w:val="1"/>
    </w:lvl>
  </w:abstractNum>
  <w:abstractNum w:abstractNumId="27">
    <w:nsid w:val="3F7F5DD9"/>
    <w:multiLevelType w:val="hybridMultilevel"/>
    <w:lvl w:ilvl="0">
      <w:lvlJc w:val="left"/>
      <w:lvlText w:val="•"/>
      <w:numFmt w:val="bullet"/>
      <w:start w:val="1"/>
    </w:lvl>
  </w:abstractNum>
  <w:abstractNum w:abstractNumId="28">
    <w:nsid w:val="2AE05A34"/>
    <w:multiLevelType w:val="hybridMultilevel"/>
    <w:lvl w:ilvl="0">
      <w:lvlJc w:val="left"/>
      <w:lvlText w:val="(%1)"/>
      <w:numFmt w:val="lowerRoman"/>
      <w:start w:val="4"/>
    </w:lvl>
  </w:abstractNum>
  <w:abstractNum w:abstractNumId="29">
    <w:nsid w:val="32794FF7"/>
    <w:multiLevelType w:val="hybridMultilevel"/>
    <w:lvl w:ilvl="0">
      <w:lvlJc w:val="left"/>
      <w:lvlText w:val="(%1)"/>
      <w:numFmt w:val="lowerRoman"/>
      <w:start w:val="2"/>
    </w:lvl>
  </w:abstractNum>
  <w:abstractNum w:abstractNumId="30">
    <w:nsid w:val="5454945E"/>
    <w:multiLevelType w:val="hybridMultilevel"/>
    <w:lvl w:ilvl="0">
      <w:lvlJc w:val="left"/>
      <w:lvlText w:val="•"/>
      <w:numFmt w:val="bullet"/>
      <w:start w:val="1"/>
    </w:lvl>
  </w:abstractNum>
  <w:abstractNum w:abstractNumId="31">
    <w:nsid w:val="4DEFDFA0"/>
    <w:multiLevelType w:val="hybridMultilevel"/>
    <w:lvl w:ilvl="0">
      <w:lvlJc w:val="left"/>
      <w:lvlText w:val="•"/>
      <w:numFmt w:val="bullet"/>
      <w:start w:val="1"/>
    </w:lvl>
  </w:abstractNum>
  <w:abstractNum w:abstractNumId="32">
    <w:nsid w:val="2123D5F2"/>
    <w:multiLevelType w:val="hybridMultilevel"/>
    <w:lvl w:ilvl="0">
      <w:lvlJc w:val="left"/>
      <w:lvlText w:val="•"/>
      <w:numFmt w:val="bullet"/>
      <w:start w:val="1"/>
    </w:lvl>
  </w:abstractNum>
  <w:abstractNum w:abstractNumId="33">
    <w:nsid w:val="135B8110"/>
    <w:multiLevelType w:val="hybridMultilevel"/>
    <w:lvl w:ilvl="0">
      <w:lvlJc w:val="left"/>
      <w:lvlText w:val="•"/>
      <w:numFmt w:val="bullet"/>
      <w:start w:val="1"/>
    </w:lvl>
  </w:abstractNum>
  <w:abstractNum w:abstractNumId="34">
    <w:nsid w:val="94927A8"/>
    <w:multiLevelType w:val="hybridMultilevel"/>
    <w:lvl w:ilvl="0">
      <w:lvlJc w:val="left"/>
      <w:lvlText w:val="•"/>
      <w:numFmt w:val="bullet"/>
      <w:start w:val="1"/>
    </w:lvl>
  </w:abstractNum>
  <w:abstractNum w:abstractNumId="35">
    <w:nsid w:val="DCDF8F6"/>
    <w:multiLevelType w:val="hybridMultilevel"/>
    <w:lvl w:ilvl="0">
      <w:lvlJc w:val="left"/>
      <w:lvlText w:val="•"/>
      <w:numFmt w:val="bullet"/>
      <w:start w:val="1"/>
    </w:lvl>
  </w:abstractNum>
  <w:abstractNum w:abstractNumId="36">
    <w:nsid w:val="52D7B105"/>
    <w:multiLevelType w:val="hybridMultilevel"/>
    <w:lvl w:ilvl="0">
      <w:lvlJc w:val="left"/>
      <w:lvlText w:val="(%1)"/>
      <w:numFmt w:val="decimal"/>
      <w:start w:val="1"/>
    </w:lvl>
  </w:abstractNum>
  <w:abstractNum w:abstractNumId="37">
    <w:nsid w:val="2E8A6394"/>
    <w:multiLevelType w:val="hybridMultilevel"/>
    <w:lvl w:ilvl="0">
      <w:lvlJc w:val="left"/>
      <w:lvlText w:val="•"/>
      <w:numFmt w:val="bullet"/>
      <w:start w:val="1"/>
    </w:lvl>
  </w:abstractNum>
  <w:abstractNum w:abstractNumId="38">
    <w:nsid w:val="24E60401"/>
    <w:multiLevelType w:val="hybridMultilevel"/>
    <w:lvl w:ilvl="0">
      <w:lvlJc w:val="left"/>
      <w:lvlText w:val="•"/>
      <w:numFmt w:val="bullet"/>
      <w:start w:val="1"/>
    </w:lvl>
  </w:abstractNum>
  <w:abstractNum w:abstractNumId="39">
    <w:nsid w:val="2A6AD9BE"/>
    <w:multiLevelType w:val="hybridMultilevel"/>
    <w:lvl w:ilvl="0">
      <w:lvlJc w:val="left"/>
      <w:lvlText w:val="•"/>
      <w:numFmt w:val="bullet"/>
      <w:start w:val="1"/>
    </w:lvl>
  </w:abstractNum>
  <w:abstractNum w:abstractNumId="40">
    <w:nsid w:val="BAAC1B4"/>
    <w:multiLevelType w:val="hybridMultilevel"/>
    <w:lvl w:ilvl="0">
      <w:lvlJc w:val="left"/>
      <w:lvlText w:val="(%1)"/>
      <w:numFmt w:val="decimal"/>
      <w:start w:val="1"/>
    </w:lvl>
  </w:abstractNum>
  <w:abstractNum w:abstractNumId="41">
    <w:nsid w:val="36B2ACBC"/>
    <w:multiLevelType w:val="hybridMultilevel"/>
    <w:lvl w:ilvl="0">
      <w:lvlJc w:val="left"/>
      <w:lvlText w:val="(%1)"/>
      <w:numFmt w:val="decimal"/>
      <w:start w:val="4"/>
    </w:lvl>
  </w:abstractNum>
  <w:abstractNum w:abstractNumId="42">
    <w:nsid w:val="779D8544"/>
    <w:multiLevelType w:val="hybridMultilevel"/>
    <w:lvl w:ilvl="0">
      <w:lvlJc w:val="left"/>
      <w:lvlText w:val="•"/>
      <w:numFmt w:val="bullet"/>
      <w:start w:val="1"/>
    </w:lvl>
  </w:abstractNum>
  <w:abstractNum w:abstractNumId="43">
    <w:nsid w:val="4AB26E78"/>
    <w:multiLevelType w:val="hybridMultilevel"/>
    <w:lvl w:ilvl="0">
      <w:lvlJc w:val="left"/>
      <w:lvlText w:val="•"/>
      <w:numFmt w:val="bullet"/>
      <w:start w:val="1"/>
    </w:lvl>
  </w:abstractNum>
  <w:abstractNum w:abstractNumId="44">
    <w:nsid w:val="21FAA2FA"/>
    <w:multiLevelType w:val="hybridMultilevel"/>
    <w:lvl w:ilvl="0">
      <w:lvlJc w:val="left"/>
      <w:lvlText w:val="(%1)"/>
      <w:numFmt w:val="decimal"/>
      <w:start w:val="1"/>
    </w:lvl>
  </w:abstractNum>
  <w:abstractNum w:abstractNumId="45">
    <w:nsid w:val="5451CF49"/>
    <w:multiLevelType w:val="hybridMultilevel"/>
    <w:lvl w:ilvl="0">
      <w:lvlJc w:val="left"/>
      <w:lvlText w:val="(%1)"/>
      <w:numFmt w:val="lowerRoman"/>
      <w:start w:val="2"/>
    </w:lvl>
  </w:abstractNum>
  <w:abstractNum w:abstractNumId="46">
    <w:nsid w:val="6181EF69"/>
    <w:multiLevelType w:val="hybridMultilevel"/>
    <w:lvl w:ilvl="0">
      <w:lvlJc w:val="left"/>
      <w:lvlText w:val="(%1)"/>
      <w:numFmt w:val="decimal"/>
      <w:start w:val="1"/>
    </w:lvl>
  </w:abstractNum>
  <w:abstractNum w:abstractNumId="47">
    <w:nsid w:val="3E6400E6"/>
    <w:multiLevelType w:val="hybridMultilevel"/>
    <w:lvl w:ilvl="0">
      <w:lvlJc w:val="left"/>
      <w:lvlText w:val="(%1)"/>
      <w:numFmt w:val="lowerRoman"/>
      <w:start w:val="1"/>
    </w:lvl>
  </w:abstractNum>
  <w:abstractNum w:abstractNumId="48">
    <w:nsid w:val="14217E23"/>
    <w:multiLevelType w:val="hybridMultilevel"/>
    <w:lvl w:ilvl="0">
      <w:lvlJc w:val="left"/>
      <w:lvlText w:val="•"/>
      <w:numFmt w:val="bullet"/>
      <w:start w:val="1"/>
    </w:lvl>
  </w:abstractNum>
  <w:abstractNum w:abstractNumId="49">
    <w:nsid w:val="710757D0"/>
    <w:multiLevelType w:val="hybridMultilevel"/>
    <w:lvl w:ilvl="0">
      <w:lvlJc w:val="left"/>
      <w:lvlText w:val="•"/>
      <w:numFmt w:val="bullet"/>
      <w:start w:val="1"/>
    </w:lvl>
  </w:abstractNum>
  <w:abstractNum w:abstractNumId="50">
    <w:nsid w:val="5015CD1A"/>
    <w:multiLevelType w:val="hybridMultilevel"/>
    <w:lvl w:ilvl="0">
      <w:lvlJc w:val="left"/>
      <w:lvlText w:val="(%1)"/>
      <w:numFmt w:val="decimal"/>
      <w:start w:val="1"/>
    </w:lvl>
  </w:abstractNum>
  <w:abstractNum w:abstractNumId="51">
    <w:nsid w:val="424479DA"/>
    <w:multiLevelType w:val="hybridMultilevel"/>
    <w:lvl w:ilvl="0">
      <w:lvlJc w:val="left"/>
      <w:lvlText w:val="•"/>
      <w:numFmt w:val="bullet"/>
      <w:start w:val="1"/>
    </w:lvl>
  </w:abstractNum>
  <w:abstractNum w:abstractNumId="52">
    <w:nsid w:val="1A9A9E69"/>
    <w:multiLevelType w:val="hybridMultilevel"/>
    <w:lvl w:ilvl="0">
      <w:lvlJc w:val="left"/>
      <w:lvlText w:val="(%1)"/>
      <w:numFmt w:val="decimal"/>
      <w:start w:val="1"/>
    </w:lvl>
    <w:lvl w:ilvl="1">
      <w:lvlJc w:val="left"/>
      <w:lvlText w:val="•"/>
      <w:numFmt w:val="bullet"/>
      <w:start w:val="1"/>
    </w:lvl>
  </w:abstractNum>
  <w:abstractNum w:abstractNumId="53">
    <w:nsid w:val="475E256A"/>
    <w:multiLevelType w:val="hybridMultilevel"/>
    <w:lvl w:ilvl="0">
      <w:lvlJc w:val="left"/>
      <w:lvlText w:val="•"/>
      <w:numFmt w:val="bullet"/>
      <w:start w:val="1"/>
    </w:lvl>
  </w:abstractNum>
  <w:abstractNum w:abstractNumId="54">
    <w:nsid w:val="368DB37E"/>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55">
    <w:nsid w:val="6A3B714C"/>
    <w:multiLevelType w:val="hybridMultilevel"/>
    <w:lvl w:ilvl="0">
      <w:lvlJc w:val="left"/>
      <w:lvlText w:val="•"/>
      <w:numFmt w:val="bullet"/>
      <w:start w:val="1"/>
    </w:lvl>
  </w:abstractNum>
  <w:abstractNum w:abstractNumId="56">
    <w:nsid w:val="327B517E"/>
    <w:multiLevelType w:val="hybridMultilevel"/>
    <w:lvl w:ilvl="0">
      <w:lvlJc w:val="left"/>
      <w:lvlText w:val="•"/>
      <w:numFmt w:val="bullet"/>
      <w:start w:val="1"/>
    </w:lvl>
  </w:abstractNum>
  <w:abstractNum w:abstractNumId="57">
    <w:nsid w:val="1F461B51"/>
    <w:multiLevelType w:val="hybridMultilevel"/>
    <w:lvl w:ilvl="0">
      <w:lvlJc w:val="left"/>
      <w:lvlText w:val="•"/>
      <w:numFmt w:val="bullet"/>
      <w:start w:val="1"/>
    </w:lvl>
  </w:abstractNum>
  <w:abstractNum w:abstractNumId="58">
    <w:nsid w:val="29BACF25"/>
    <w:multiLevelType w:val="hybridMultilevel"/>
    <w:lvl w:ilvl="0">
      <w:lvlJc w:val="left"/>
      <w:lvlText w:val="•"/>
      <w:numFmt w:val="bullet"/>
      <w:start w:val="1"/>
    </w:lvl>
  </w:abstractNum>
  <w:abstractNum w:abstractNumId="59">
    <w:nsid w:val="5D5BABB3"/>
    <w:multiLevelType w:val="hybridMultilevel"/>
    <w:lvl w:ilvl="0">
      <w:lvlJc w:val="left"/>
      <w:lvlText w:val="•"/>
      <w:numFmt w:val="bullet"/>
      <w:start w:val="1"/>
    </w:lvl>
  </w:abstractNum>
  <w:abstractNum w:abstractNumId="60">
    <w:nsid w:val="51BF6B48"/>
    <w:multiLevelType w:val="hybridMultilevel"/>
    <w:lvl w:ilvl="0">
      <w:lvlJc w:val="left"/>
      <w:lvlText w:val="•"/>
      <w:numFmt w:val="bullet"/>
      <w:start w:val="1"/>
    </w:lvl>
  </w:abstractNum>
  <w:abstractNum w:abstractNumId="61">
    <w:nsid w:val="7E0F6384"/>
    <w:multiLevelType w:val="hybridMultilevel"/>
    <w:lvl w:ilvl="0">
      <w:lvlJc w:val="left"/>
      <w:lvlText w:val="•"/>
      <w:numFmt w:val="bullet"/>
      <w:start w:val="1"/>
    </w:lvl>
  </w:abstractNum>
  <w:abstractNum w:abstractNumId="62">
    <w:nsid w:val="2B4B8B53"/>
    <w:multiLevelType w:val="hybridMultilevel"/>
    <w:lvl w:ilvl="0">
      <w:lvlJc w:val="left"/>
      <w:lvlText w:val="•"/>
      <w:numFmt w:val="bullet"/>
      <w:start w:val="1"/>
    </w:lvl>
  </w:abstractNum>
  <w:abstractNum w:abstractNumId="63">
    <w:nsid w:val="72E3413A"/>
    <w:multiLevelType w:val="hybridMultilevel"/>
    <w:lvl w:ilvl="0">
      <w:lvlJc w:val="left"/>
      <w:lvlText w:val="•"/>
      <w:numFmt w:val="bullet"/>
      <w:start w:val="1"/>
    </w:lvl>
  </w:abstractNum>
  <w:abstractNum w:abstractNumId="64">
    <w:nsid w:val="116AE494"/>
    <w:multiLevelType w:val="hybridMultilevel"/>
    <w:lvl w:ilvl="0">
      <w:lvlJc w:val="left"/>
      <w:lvlText w:val="•"/>
      <w:numFmt w:val="bullet"/>
      <w:start w:val="1"/>
    </w:lvl>
  </w:abstractNum>
  <w:abstractNum w:abstractNumId="65">
    <w:nsid w:val="3494B2FB"/>
    <w:multiLevelType w:val="hybridMultilevel"/>
    <w:lvl w:ilvl="0">
      <w:lvlJc w:val="left"/>
      <w:lvlText w:val="•"/>
      <w:numFmt w:val="bullet"/>
      <w:start w:val="1"/>
    </w:lvl>
  </w:abstractNum>
  <w:abstractNum w:abstractNumId="66">
    <w:nsid w:val="B13A31"/>
    <w:multiLevelType w:val="hybridMultilevel"/>
    <w:lvl w:ilvl="0">
      <w:lvlJc w:val="left"/>
      <w:lvlText w:val="•"/>
      <w:numFmt w:val="bullet"/>
      <w:start w:val="1"/>
    </w:lvl>
  </w:abstractNum>
  <w:abstractNum w:abstractNumId="67">
    <w:nsid w:val="64429599"/>
    <w:multiLevelType w:val="hybridMultilevel"/>
    <w:lvl w:ilvl="0">
      <w:lvlJc w:val="left"/>
      <w:lvlText w:val="•"/>
      <w:numFmt w:val="bullet"/>
      <w:start w:val="1"/>
    </w:lvl>
  </w:abstractNum>
  <w:abstractNum w:abstractNumId="68">
    <w:nsid w:val="631F1690"/>
    <w:multiLevelType w:val="hybridMultilevel"/>
    <w:lvl w:ilvl="0">
      <w:lvlJc w:val="left"/>
      <w:lvlText w:val="•"/>
      <w:numFmt w:val="bullet"/>
      <w:start w:val="1"/>
    </w:lvl>
  </w:abstractNum>
  <w:abstractNum w:abstractNumId="69">
    <w:nsid w:val="25973E32"/>
    <w:multiLevelType w:val="hybridMultilevel"/>
    <w:lvl w:ilvl="0">
      <w:lvlJc w:val="left"/>
      <w:lvlText w:val="•"/>
      <w:numFmt w:val="bullet"/>
      <w:start w:val="1"/>
    </w:lvl>
  </w:abstractNum>
  <w:abstractNum w:abstractNumId="70">
    <w:nsid w:val="EAD6F57"/>
    <w:multiLevelType w:val="hybridMultilevel"/>
    <w:lvl w:ilvl="0">
      <w:lvlJc w:val="left"/>
      <w:lvlText w:val="•"/>
      <w:numFmt w:val="bullet"/>
      <w:start w:val="1"/>
    </w:lvl>
  </w:abstractNum>
  <w:abstractNum w:abstractNumId="71">
    <w:nsid w:val="6EC9D844"/>
    <w:multiLevelType w:val="hybridMultilevel"/>
    <w:lvl w:ilvl="0">
      <w:lvlJc w:val="left"/>
      <w:lvlText w:val="•"/>
      <w:numFmt w:val="bullet"/>
      <w:start w:val="1"/>
    </w:lvl>
  </w:abstractNum>
  <w:abstractNum w:abstractNumId="72">
    <w:nsid w:val="5C49EAEE"/>
    <w:multiLevelType w:val="hybridMultilevel"/>
    <w:lvl w:ilvl="0">
      <w:lvlJc w:val="left"/>
      <w:lvlText w:val="•"/>
      <w:numFmt w:val="bullet"/>
      <w:start w:val="1"/>
    </w:lvl>
  </w:abstractNum>
  <w:abstractNum w:abstractNumId="73">
    <w:nsid w:val="64AF49B"/>
    <w:multiLevelType w:val="hybridMultilevel"/>
    <w:lvl w:ilvl="0">
      <w:lvlJc w:val="left"/>
      <w:lvlText w:val="•"/>
      <w:numFmt w:val="bullet"/>
      <w:start w:val="1"/>
    </w:lvl>
  </w:abstractNum>
  <w:abstractNum w:abstractNumId="74">
    <w:nsid w:val="397C46BC"/>
    <w:multiLevelType w:val="hybridMultilevel"/>
    <w:lvl w:ilvl="0">
      <w:lvlJc w:val="left"/>
      <w:lvlText w:val="•"/>
      <w:numFmt w:val="bullet"/>
      <w:start w:val="1"/>
    </w:lvl>
  </w:abstractNum>
  <w:abstractNum w:abstractNumId="75">
    <w:nsid w:val="7E448DE9"/>
    <w:multiLevelType w:val="hybridMultilevel"/>
    <w:lvl w:ilvl="0">
      <w:lvlJc w:val="left"/>
      <w:lvlText w:val="•"/>
      <w:numFmt w:val="bullet"/>
      <w:start w:val="1"/>
    </w:lvl>
  </w:abstractNum>
  <w:abstractNum w:abstractNumId="76">
    <w:nsid w:val="5A9CC3E5"/>
    <w:multiLevelType w:val="hybridMultilevel"/>
    <w:lvl w:ilvl="0">
      <w:lvlJc w:val="left"/>
      <w:lvlText w:val="•"/>
      <w:numFmt w:val="bullet"/>
      <w:start w:val="1"/>
    </w:lvl>
  </w:abstractNum>
  <w:abstractNum w:abstractNumId="77">
    <w:nsid w:val="1AFE3625"/>
    <w:multiLevelType w:val="hybridMultilevel"/>
    <w:lvl w:ilvl="0">
      <w:lvlJc w:val="left"/>
      <w:lvlText w:val="•"/>
      <w:numFmt w:val="bullet"/>
      <w:start w:val="1"/>
    </w:lvl>
  </w:abstractNum>
  <w:abstractNum w:abstractNumId="78">
    <w:nsid w:val="3CA88ECF"/>
    <w:multiLevelType w:val="hybridMultilevel"/>
    <w:lvl w:ilvl="0">
      <w:lvlJc w:val="left"/>
      <w:lvlText w:val="•"/>
      <w:numFmt w:val="bullet"/>
      <w:start w:val="1"/>
    </w:lvl>
  </w:abstractNum>
  <w:abstractNum w:abstractNumId="79">
    <w:nsid w:val="6EBE4208"/>
    <w:multiLevelType w:val="hybridMultilevel"/>
    <w:lvl w:ilvl="0">
      <w:lvlJc w:val="left"/>
      <w:lvlText w:val="•"/>
      <w:numFmt w:val="bullet"/>
      <w:start w:val="1"/>
    </w:lvl>
  </w:abstractNum>
  <w:abstractNum w:abstractNumId="80">
    <w:nsid w:val="C058DF5"/>
    <w:multiLevelType w:val="hybridMultilevel"/>
    <w:lvl w:ilvl="0">
      <w:lvlJc w:val="left"/>
      <w:lvlText w:val="•"/>
      <w:numFmt w:val="bullet"/>
      <w:start w:val="1"/>
    </w:lvl>
  </w:abstractNum>
  <w:abstractNum w:abstractNumId="81">
    <w:nsid w:val="CBE5BE9"/>
    <w:multiLevelType w:val="hybridMultilevel"/>
    <w:lvl w:ilvl="0">
      <w:lvlJc w:val="left"/>
      <w:lvlText w:val="*"/>
      <w:numFmt w:val="bullet"/>
      <w:start w:val="1"/>
    </w:lvl>
  </w:abstractNum>
  <w:abstractNum w:abstractNumId="82">
    <w:nsid w:val="3102BBE2"/>
    <w:multiLevelType w:val="hybridMultilevel"/>
    <w:lvl w:ilvl="0">
      <w:lvlJc w:val="left"/>
      <w:lvlText w:val="•"/>
      <w:numFmt w:val="bullet"/>
      <w:start w:val="1"/>
    </w:lvl>
  </w:abstractNum>
  <w:abstractNum w:abstractNumId="83">
    <w:nsid w:val="26A02C5E"/>
    <w:multiLevelType w:val="hybridMultilevel"/>
    <w:lvl w:ilvl="0">
      <w:lvlJc w:val="left"/>
      <w:lvlText w:val="•"/>
      <w:numFmt w:val="bullet"/>
      <w:start w:val="1"/>
    </w:lvl>
  </w:abstractNum>
  <w:abstractNum w:abstractNumId="84">
    <w:nsid w:val="541C8153"/>
    <w:multiLevelType w:val="hybridMultilevel"/>
    <w:lvl w:ilvl="0">
      <w:lvlJc w:val="left"/>
      <w:lvlText w:val="•"/>
      <w:numFmt w:val="bullet"/>
      <w:start w:val="1"/>
    </w:lvl>
  </w:abstractNum>
  <w:abstractNum w:abstractNumId="85">
    <w:nsid w:val="67906F60"/>
    <w:multiLevelType w:val="hybridMultilevel"/>
    <w:lvl w:ilvl="0">
      <w:lvlJc w:val="left"/>
      <w:lvlText w:val="•"/>
      <w:numFmt w:val="bullet"/>
      <w:start w:val="1"/>
    </w:lvl>
  </w:abstractNum>
  <w:abstractNum w:abstractNumId="86">
    <w:nsid w:val="10DB9DAA"/>
    <w:multiLevelType w:val="hybridMultilevel"/>
    <w:lvl w:ilvl="0">
      <w:lvlJc w:val="left"/>
      <w:lvlText w:val="*"/>
      <w:numFmt w:val="bullet"/>
      <w:start w:val="1"/>
    </w:lvl>
  </w:abstractNum>
  <w:abstractNum w:abstractNumId="87">
    <w:nsid w:val="697D2D2"/>
    <w:multiLevelType w:val="hybridMultilevel"/>
    <w:lvl w:ilvl="0">
      <w:lvlJc w:val="left"/>
      <w:lvlText w:val="**"/>
      <w:numFmt w:val="bullet"/>
      <w:start w:val="1"/>
    </w:lvl>
  </w:abstractNum>
  <w:abstractNum w:abstractNumId="88">
    <w:nsid w:val="6D68AB2"/>
    <w:multiLevelType w:val="hybridMultilevel"/>
    <w:lvl w:ilvl="0">
      <w:lvlJc w:val="left"/>
      <w:lvlText w:val="•"/>
      <w:numFmt w:val="bullet"/>
      <w:start w:val="1"/>
    </w:lvl>
  </w:abstractNum>
  <w:abstractNum w:abstractNumId="89">
    <w:nsid w:val="3A966CD0"/>
    <w:multiLevelType w:val="hybridMultilevel"/>
    <w:lvl w:ilvl="0">
      <w:lvlJc w:val="left"/>
      <w:lvlText w:val="*"/>
      <w:numFmt w:val="bullet"/>
      <w:start w:val="1"/>
    </w:lvl>
  </w:abstractNum>
  <w:abstractNum w:abstractNumId="90">
    <w:nsid w:val="63F37E85"/>
    <w:multiLevelType w:val="hybridMultilevel"/>
    <w:lvl w:ilvl="0">
      <w:lvlJc w:val="left"/>
      <w:lvlText w:val="**"/>
      <w:numFmt w:val="bullet"/>
      <w:start w:val="1"/>
    </w:lvl>
  </w:abstractNum>
  <w:abstractNum w:abstractNumId="91">
    <w:nsid w:val="5895F5FA"/>
    <w:multiLevelType w:val="hybridMultilevel"/>
    <w:lvl w:ilvl="0">
      <w:lvlJc w:val="left"/>
      <w:lvlText w:val="†"/>
      <w:numFmt w:val="bullet"/>
      <w:start w:val="1"/>
    </w:lvl>
  </w:abstractNum>
  <w:abstractNum w:abstractNumId="92">
    <w:nsid w:val="38A5D054"/>
    <w:multiLevelType w:val="hybridMultilevel"/>
    <w:lvl w:ilvl="0">
      <w:lvlJc w:val="left"/>
      <w:lvlText w:val="††"/>
      <w:numFmt w:val="bullet"/>
      <w:start w:val="1"/>
    </w:lvl>
  </w:abstractNum>
  <w:abstractNum w:abstractNumId="93">
    <w:nsid w:val="F3F09D8"/>
    <w:multiLevelType w:val="hybridMultilevel"/>
    <w:lvl w:ilvl="0">
      <w:lvlJc w:val="left"/>
      <w:lvlText w:val="(%1)"/>
      <w:numFmt w:val="decimal"/>
      <w:start w:val="1"/>
    </w:lvl>
  </w:abstractNum>
  <w:abstractNum w:abstractNumId="94">
    <w:nsid w:val="4B793735"/>
    <w:multiLevelType w:val="hybridMultilevel"/>
    <w:lvl w:ilvl="0">
      <w:lvlJc w:val="left"/>
      <w:lvlText w:val="•"/>
      <w:numFmt w:val="bullet"/>
      <w:start w:val="1"/>
    </w:lvl>
  </w:abstractNum>
  <w:abstractNum w:abstractNumId="95">
    <w:nsid w:val="4A10B4E8"/>
    <w:multiLevelType w:val="hybridMultilevel"/>
    <w:lvl w:ilvl="0">
      <w:lvlJc w:val="left"/>
      <w:lvlText w:val="•"/>
      <w:numFmt w:val="bullet"/>
      <w:start w:val="1"/>
    </w:lvl>
  </w:abstractNum>
  <w:abstractNum w:abstractNumId="96">
    <w:nsid w:val="43D3BCD4"/>
    <w:multiLevelType w:val="hybridMultilevel"/>
    <w:lvl w:ilvl="0">
      <w:lvlJc w:val="left"/>
      <w:lvlText w:val="(%1)"/>
      <w:numFmt w:val="lowerLetter"/>
      <w:start w:val="2"/>
    </w:lvl>
  </w:abstractNum>
  <w:abstractNum w:abstractNumId="97">
    <w:nsid w:val="4C2A7166"/>
    <w:multiLevelType w:val="hybridMultilevel"/>
    <w:lvl w:ilvl="0">
      <w:lvlJc w:val="left"/>
      <w:lvlText w:val="•"/>
      <w:numFmt w:val="bullet"/>
      <w:start w:val="1"/>
    </w:lvl>
  </w:abstractNum>
  <w:abstractNum w:abstractNumId="98">
    <w:nsid w:val="2E534A82"/>
    <w:multiLevelType w:val="hybridMultilevel"/>
    <w:lvl w:ilvl="0">
      <w:lvlJc w:val="left"/>
      <w:lvlText w:val="•"/>
      <w:numFmt w:val="bullet"/>
      <w:start w:val="1"/>
    </w:lvl>
  </w:abstractNum>
  <w:abstractNum w:abstractNumId="99">
    <w:nsid w:val="26F2D364"/>
    <w:multiLevelType w:val="hybridMultilevel"/>
    <w:lvl w:ilvl="0">
      <w:lvlJc w:val="left"/>
      <w:lvlText w:val="(%1)"/>
      <w:numFmt w:val="lowerRoman"/>
      <w:start w:val="4"/>
    </w:lvl>
  </w:abstractNum>
  <w:abstractNum w:abstractNumId="100">
    <w:nsid w:val="71C1AF98"/>
    <w:multiLevelType w:val="hybridMultilevel"/>
    <w:lvl w:ilvl="0">
      <w:lvlJc w:val="left"/>
      <w:lvlText w:val="•"/>
      <w:numFmt w:val="bullet"/>
      <w:start w:val="1"/>
    </w:lvl>
  </w:abstractNum>
  <w:abstractNum w:abstractNumId="101">
    <w:nsid w:val="3D00B9D9"/>
    <w:multiLevelType w:val="hybridMultilevel"/>
    <w:lvl w:ilvl="0">
      <w:lvlJc w:val="left"/>
      <w:lvlText w:val="•"/>
      <w:numFmt w:val="bullet"/>
      <w:start w:val="1"/>
    </w:lvl>
  </w:abstractNum>
  <w:abstractNum w:abstractNumId="102">
    <w:nsid w:val="15BCABA8"/>
    <w:multiLevelType w:val="hybridMultilevel"/>
    <w:lvl w:ilvl="0">
      <w:lvlJc w:val="left"/>
      <w:lvlText w:val="•"/>
      <w:numFmt w:val="bullet"/>
      <w:start w:val="1"/>
    </w:lvl>
  </w:abstractNum>
  <w:abstractNum w:abstractNumId="103">
    <w:nsid w:val="4E0B9A87"/>
    <w:multiLevelType w:val="hybridMultilevel"/>
    <w:lvl w:ilvl="0">
      <w:lvlJc w:val="left"/>
      <w:lvlText w:val="•"/>
      <w:numFmt w:val="bullet"/>
      <w:start w:val="1"/>
    </w:lvl>
  </w:abstractNum>
  <w:abstractNum w:abstractNumId="104">
    <w:nsid w:val="434BAE75"/>
    <w:multiLevelType w:val="hybridMultilevel"/>
    <w:lvl w:ilvl="0">
      <w:lvlJc w:val="left"/>
      <w:lvlText w:val="•"/>
      <w:numFmt w:val="bullet"/>
      <w:start w:val="1"/>
    </w:lvl>
  </w:abstractNum>
  <w:abstractNum w:abstractNumId="105">
    <w:nsid w:val="4F38F265"/>
    <w:multiLevelType w:val="hybridMultilevel"/>
    <w:lvl w:ilvl="0">
      <w:lvlJc w:val="left"/>
      <w:lvlText w:val="•"/>
      <w:numFmt w:val="bullet"/>
      <w:start w:val="1"/>
    </w:lvl>
  </w:abstractNum>
  <w:abstractNum w:abstractNumId="106">
    <w:nsid w:val="4C502870"/>
    <w:multiLevelType w:val="hybridMultilevel"/>
    <w:lvl w:ilvl="0">
      <w:lvlJc w:val="left"/>
      <w:lvlText w:val="•"/>
      <w:numFmt w:val="bullet"/>
      <w:start w:val="1"/>
    </w:lvl>
  </w:abstractNum>
  <w:abstractNum w:abstractNumId="107">
    <w:nsid w:val="1DE8725A"/>
    <w:multiLevelType w:val="hybridMultilevel"/>
    <w:lvl w:ilvl="0">
      <w:lvlJc w:val="left"/>
      <w:lvlText w:val="•"/>
      <w:numFmt w:val="bullet"/>
      <w:start w:val="1"/>
    </w:lvl>
  </w:abstractNum>
  <w:abstractNum w:abstractNumId="108">
    <w:nsid w:val="6A37288A"/>
    <w:multiLevelType w:val="hybridMultilevel"/>
    <w:lvl w:ilvl="0">
      <w:lvlJc w:val="left"/>
      <w:lvlText w:val="•"/>
      <w:numFmt w:val="bullet"/>
      <w:start w:val="1"/>
    </w:lvl>
  </w:abstractNum>
  <w:abstractNum w:abstractNumId="109">
    <w:nsid w:val="8F8B73F"/>
    <w:multiLevelType w:val="hybridMultilevel"/>
    <w:lvl w:ilvl="0">
      <w:lvlJc w:val="left"/>
      <w:lvlText w:val="•"/>
      <w:numFmt w:val="bullet"/>
      <w:start w:val="1"/>
    </w:lvl>
  </w:abstractNum>
  <w:abstractNum w:abstractNumId="110">
    <w:nsid w:val="CA6B462"/>
    <w:multiLevelType w:val="hybridMultilevel"/>
    <w:lvl w:ilvl="0">
      <w:lvlJc w:val="left"/>
      <w:lvlText w:val="(%1)"/>
      <w:numFmt w:val="decimal"/>
      <w:start w:val="1"/>
    </w:lvl>
  </w:abstractNum>
  <w:abstractNum w:abstractNumId="111">
    <w:nsid w:val="763CB680"/>
    <w:multiLevelType w:val="hybridMultilevel"/>
    <w:lvl w:ilvl="0">
      <w:lvlJc w:val="left"/>
      <w:lvlText w:val="•"/>
      <w:numFmt w:val="bullet"/>
      <w:start w:val="1"/>
    </w:lvl>
  </w:abstractNum>
  <w:abstractNum w:abstractNumId="112">
    <w:nsid w:val="15B71329"/>
    <w:multiLevelType w:val="hybridMultilevel"/>
    <w:lvl w:ilvl="0">
      <w:lvlJc w:val="left"/>
      <w:lvlText w:val="•"/>
      <w:numFmt w:val="bullet"/>
      <w:start w:val="1"/>
    </w:lvl>
  </w:abstractNum>
  <w:abstractNum w:abstractNumId="113">
    <w:nsid w:val="3DA97044"/>
    <w:multiLevelType w:val="hybridMultilevel"/>
    <w:lvl w:ilvl="0">
      <w:lvlJc w:val="left"/>
      <w:lvlText w:val="$"/>
      <w:numFmt w:val="bullet"/>
      <w:start w:val="1"/>
    </w:lvl>
  </w:abstractNum>
  <w:abstractNum w:abstractNumId="114">
    <w:nsid w:val="1CDCE2DE"/>
    <w:multiLevelType w:val="hybridMultilevel"/>
    <w:lvl w:ilvl="0">
      <w:lvlJc w:val="left"/>
      <w:lvlText w:val="(%1)"/>
      <w:numFmt w:val="lowerLetter"/>
      <w:start w:val="1"/>
    </w:lvl>
    <w:lvl w:ilvl="1">
      <w:lvlJc w:val="left"/>
      <w:lvlText w:val="(%2)"/>
      <w:numFmt w:val="lowerRoman"/>
      <w:start w:val="1"/>
    </w:lvl>
  </w:abstractNum>
  <w:abstractNum w:abstractNumId="115">
    <w:nsid w:val="69D3947C"/>
    <w:multiLevelType w:val="hybridMultilevel"/>
    <w:lvl w:ilvl="0">
      <w:lvlJc w:val="left"/>
      <w:lvlText w:val="(%1)"/>
      <w:numFmt w:val="lowerLetter"/>
      <w:start w:val="2"/>
    </w:lvl>
  </w:abstractNum>
  <w:abstractNum w:abstractNumId="116">
    <w:nsid w:val="2539DFA5"/>
    <w:multiLevelType w:val="hybridMultilevel"/>
    <w:lvl w:ilvl="0">
      <w:lvlJc w:val="left"/>
      <w:lvlText w:val="•"/>
      <w:numFmt w:val="bullet"/>
      <w:start w:val="1"/>
    </w:lvl>
  </w:abstractNum>
  <w:abstractNum w:abstractNumId="117">
    <w:nsid w:val="2DB88089"/>
    <w:multiLevelType w:val="hybridMultilevel"/>
    <w:lvl w:ilvl="0">
      <w:lvlJc w:val="left"/>
      <w:lvlText w:val="•"/>
      <w:numFmt w:val="bullet"/>
      <w:start w:val="1"/>
    </w:lvl>
  </w:abstractNum>
  <w:abstractNum w:abstractNumId="118">
    <w:nsid w:val="706B674E"/>
    <w:multiLevelType w:val="hybridMultilevel"/>
    <w:lvl w:ilvl="0">
      <w:lvlJc w:val="left"/>
      <w:lvlText w:val="(%1)"/>
      <w:numFmt w:val="lowerRoman"/>
      <w:start w:val="2"/>
    </w:lvl>
  </w:abstractNum>
  <w:abstractNum w:abstractNumId="119">
    <w:nsid w:val="2C106A57"/>
    <w:multiLevelType w:val="hybridMultilevel"/>
    <w:lvl w:ilvl="0">
      <w:lvlJc w:val="left"/>
      <w:lvlText w:val="(%1)"/>
      <w:numFmt w:val="lowerRoman"/>
      <w:start w:val="3"/>
    </w:lvl>
  </w:abstractNum>
  <w:abstractNum w:abstractNumId="120">
    <w:nsid w:val="684EED59"/>
    <w:multiLevelType w:val="hybridMultilevel"/>
    <w:lvl w:ilvl="0">
      <w:lvlJc w:val="left"/>
      <w:lvlText w:val="(%1)"/>
      <w:numFmt w:val="lowerLetter"/>
      <w:start w:val="1"/>
    </w:lvl>
  </w:abstractNum>
  <w:abstractNum w:abstractNumId="121">
    <w:nsid w:val="545EE5D3"/>
    <w:multiLevelType w:val="hybridMultilevel"/>
    <w:lvl w:ilvl="0">
      <w:lvlJc w:val="left"/>
      <w:lvlText w:val="*"/>
      <w:numFmt w:val="bullet"/>
      <w:start w:val="1"/>
    </w:lvl>
  </w:abstractNum>
  <w:abstractNum w:abstractNumId="122">
    <w:nsid w:val="4A66051"/>
    <w:multiLevelType w:val="hybridMultilevel"/>
    <w:lvl w:ilvl="0">
      <w:lvlJc w:val="left"/>
      <w:lvlText w:val="%1."/>
      <w:numFmt w:val="decimal"/>
      <w:start w:val="1"/>
    </w:lvl>
  </w:abstractNum>
  <w:abstractNum w:abstractNumId="123">
    <w:nsid w:val="20F4BDAD"/>
    <w:multiLevelType w:val="hybridMultilevel"/>
    <w:lvl w:ilvl="0">
      <w:lvlJc w:val="left"/>
      <w:lvlText w:val="%1."/>
      <w:numFmt w:val="decimal"/>
      <w:start w:val="1"/>
    </w:lvl>
  </w:abstractNum>
  <w:abstractNum w:abstractNumId="124">
    <w:nsid w:val="639DEFAC"/>
    <w:multiLevelType w:val="hybridMultilevel"/>
    <w:lvl w:ilvl="0">
      <w:lvlJc w:val="left"/>
      <w:lvlText w:val="%1)"/>
      <w:numFmt w:val="lowerLetter"/>
      <w:start w:val="1"/>
    </w:lvl>
    <w:lvl w:ilvl="1">
      <w:lvlJc w:val="left"/>
      <w:lvlText w:val="•"/>
      <w:numFmt w:val="bullet"/>
      <w:start w:val="1"/>
    </w:lvl>
    <w:lvl w:ilvl="2">
      <w:lvlJc w:val="left"/>
      <w:lvlText w:val="(%3)"/>
      <w:numFmt w:val="lowerRoman"/>
      <w:start w:val="2"/>
    </w:lvl>
  </w:abstractNum>
  <w:abstractNum w:abstractNumId="125">
    <w:nsid w:val="501F9786"/>
    <w:multiLevelType w:val="hybridMultilevel"/>
    <w:lvl w:ilvl="0">
      <w:lvlJc w:val="left"/>
      <w:lvlText w:val="%1"/>
      <w:numFmt w:val="lowerLetter"/>
      <w:start w:val="1"/>
    </w:lvl>
    <w:lvl w:ilvl="1">
      <w:lvlJc w:val="left"/>
      <w:lvlText w:val="•"/>
      <w:numFmt w:val="bullet"/>
      <w:start w:val="1"/>
    </w:lvl>
    <w:lvl w:ilvl="2">
      <w:lvlJc w:val="left"/>
      <w:lvlText w:val="(%3)"/>
      <w:numFmt w:val="lowerRoman"/>
      <w:start w:val="8"/>
    </w:lvl>
  </w:abstractNum>
  <w:abstractNum w:abstractNumId="126">
    <w:nsid w:val="6B057295"/>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abstractNum w:abstractNumId="127">
    <w:nsid w:val="2771AC80"/>
    <w:multiLevelType w:val="hybridMultilevel"/>
    <w:lvl w:ilvl="0">
      <w:lvlJc w:val="left"/>
      <w:lvlText w:val="%1)"/>
      <w:numFmt w:val="lowerLetter"/>
      <w:start w:val="5"/>
    </w:lvl>
    <w:lvl w:ilvl="1">
      <w:lvlJc w:val="left"/>
      <w:lvlText w:val="•"/>
      <w:numFmt w:val="bullet"/>
      <w:start w:val="1"/>
    </w:lvl>
  </w:abstractNum>
  <w:abstractNum w:abstractNumId="128">
    <w:nsid w:val="1C4A08EC"/>
    <w:multiLevelType w:val="hybridMultilevel"/>
    <w:lvl w:ilvl="0">
      <w:lvlJc w:val="left"/>
      <w:lvlText w:val="%1."/>
      <w:numFmt w:val="decimal"/>
      <w:start w:val="2"/>
    </w:lvl>
  </w:abstractNum>
  <w:abstractNum w:abstractNumId="129">
    <w:nsid w:val="1958BD17"/>
    <w:multiLevelType w:val="hybridMultilevel"/>
    <w:lvl w:ilvl="0">
      <w:lvlJc w:val="left"/>
      <w:lvlText w:val="%1."/>
      <w:numFmt w:val="decimal"/>
      <w:start w:val="2"/>
    </w:lvl>
  </w:abstractNum>
  <w:abstractNum w:abstractNumId="130">
    <w:nsid w:val="4E647FE4"/>
    <w:multiLevelType w:val="hybridMultilevel"/>
    <w:lvl w:ilvl="0">
      <w:lvlJc w:val="left"/>
      <w:lvlText w:val="(%1)"/>
      <w:numFmt w:val="decimal"/>
      <w:start w:val="3"/>
    </w:lvl>
  </w:abstractNum>
  <w:abstractNum w:abstractNumId="131">
    <w:nsid w:val="E0BB885"/>
    <w:multiLevelType w:val="hybridMultilevel"/>
    <w:lvl w:ilvl="0">
      <w:lvlJc w:val="left"/>
      <w:lvlText w:val="%1."/>
      <w:numFmt w:val="decimal"/>
      <w:start w:val="2"/>
    </w:lvl>
  </w:abstractNum>
  <w:abstractNum w:abstractNumId="132">
    <w:nsid w:val="565976F1"/>
    <w:multiLevelType w:val="hybridMultilevel"/>
    <w:lvl w:ilvl="0">
      <w:lvlJc w:val="left"/>
      <w:lvlText w:val="%1."/>
      <w:numFmt w:val="decimal"/>
      <w:start w:val="2"/>
    </w:lvl>
  </w:abstractNum>
  <w:abstractNum w:abstractNumId="133">
    <w:nsid w:val="64212B8C"/>
    <w:multiLevelType w:val="hybridMultilevel"/>
    <w:lvl w:ilvl="0">
      <w:lvlJc w:val="left"/>
      <w:lvlText w:val="%1."/>
      <w:numFmt w:val="decimal"/>
      <w:start w:val="2"/>
    </w:lvl>
  </w:abstractNum>
  <w:abstractNum w:abstractNumId="134">
    <w:nsid w:val="5C17530C"/>
    <w:multiLevelType w:val="hybridMultilevel"/>
    <w:lvl w:ilvl="0">
      <w:lvlJc w:val="left"/>
      <w:lvlText w:val="%1."/>
      <w:numFmt w:val="decimal"/>
      <w:start w:val="2"/>
    </w:lvl>
  </w:abstractNum>
  <w:abstractNum w:abstractNumId="135">
    <w:nsid w:val="19A52566"/>
    <w:multiLevelType w:val="hybridMultilevel"/>
    <w:lvl w:ilvl="0">
      <w:lvlJc w:val="left"/>
      <w:lvlText w:val="%1."/>
      <w:numFmt w:val="decimal"/>
      <w:start w:val="2"/>
    </w:lvl>
  </w:abstractNum>
  <w:abstractNum w:abstractNumId="136">
    <w:nsid w:val="335A1DF1"/>
    <w:multiLevelType w:val="hybridMultilevel"/>
    <w:lvl w:ilvl="0">
      <w:lvlJc w:val="left"/>
      <w:lvlText w:val="%1."/>
      <w:numFmt w:val="decimal"/>
      <w:start w:val="2"/>
    </w:lvl>
  </w:abstractNum>
  <w:abstractNum w:abstractNumId="137">
    <w:nsid w:val="28677B7C"/>
    <w:multiLevelType w:val="hybridMultilevel"/>
    <w:lvl w:ilvl="0">
      <w:lvlJc w:val="left"/>
      <w:lvlText w:val="%1."/>
      <w:numFmt w:val="decimal"/>
      <w:start w:val="2"/>
    </w:lvl>
  </w:abstractNum>
  <w:abstractNum w:abstractNumId="138">
    <w:nsid w:val="378D97C0"/>
    <w:multiLevelType w:val="hybridMultilevel"/>
    <w:lvl w:ilvl="0">
      <w:lvlJc w:val="left"/>
      <w:lvlText w:val="%1."/>
      <w:numFmt w:val="decimal"/>
      <w:start w:val="11"/>
    </w:lvl>
  </w:abstractNum>
  <w:abstractNum w:abstractNumId="139">
    <w:nsid w:val="1D91467C"/>
    <w:multiLevelType w:val="hybridMultilevel"/>
    <w:lvl w:ilvl="0">
      <w:lvlJc w:val="left"/>
      <w:lvlText w:val="%1."/>
      <w:numFmt w:val="decimal"/>
      <w:start w:val="11"/>
    </w:lvl>
  </w:abstractNum>
  <w:abstractNum w:abstractNumId="140">
    <w:nsid w:val="316032BB"/>
    <w:multiLevelType w:val="hybridMultilevel"/>
    <w:lvl w:ilvl="0">
      <w:lvlJc w:val="left"/>
      <w:lvlText w:val="*"/>
      <w:numFmt w:val="bullet"/>
      <w:start w:val="1"/>
    </w:lvl>
  </w:abstractNum>
  <w:abstractNum w:abstractNumId="141">
    <w:nsid w:val="44344C22"/>
    <w:multiLevelType w:val="hybridMultilevel"/>
    <w:lvl w:ilvl="0">
      <w:lvlJc w:val="left"/>
      <w:lvlText w:val="%1."/>
      <w:numFmt w:val="decimal"/>
      <w:start w:val="13"/>
    </w:lvl>
  </w:abstractNum>
  <w:abstractNum w:abstractNumId="142">
    <w:nsid w:val="13CDFCFC"/>
    <w:multiLevelType w:val="hybridMultilevel"/>
    <w:lvl w:ilvl="0">
      <w:lvlJc w:val="left"/>
      <w:lvlText w:val="%1."/>
      <w:numFmt w:val="decimal"/>
      <w:start w:val="13"/>
    </w:lvl>
  </w:abstractNum>
  <w:abstractNum w:abstractNumId="143">
    <w:nsid w:val="471745E4"/>
    <w:multiLevelType w:val="hybridMultilevel"/>
    <w:lvl w:ilvl="0">
      <w:lvlJc w:val="left"/>
      <w:lvlText w:val="(%1)"/>
      <w:numFmt w:val="lowerLetter"/>
      <w:start w:val="1"/>
    </w:lvl>
  </w:abstractNum>
  <w:abstractNum w:abstractNumId="144">
    <w:nsid w:val="1DDBC66"/>
    <w:multiLevelType w:val="hybridMultilevel"/>
    <w:lvl w:ilvl="0">
      <w:lvlJc w:val="left"/>
      <w:lvlText w:val="(%1)"/>
      <w:numFmt w:val="lowerLetter"/>
      <w:start w:val="2"/>
    </w:lvl>
  </w:abstractNum>
  <w:abstractNum w:abstractNumId="145">
    <w:nsid w:val="30AADFDA"/>
    <w:multiLevelType w:val="hybridMultilevel"/>
    <w:lvl w:ilvl="0">
      <w:lvlJc w:val="left"/>
      <w:lvlText w:val="(%1)"/>
      <w:numFmt w:val="lowerLetter"/>
      <w:start w:val="3"/>
    </w:lvl>
  </w:abstractNum>
  <w:abstractNum w:abstractNumId="146">
    <w:nsid w:val="30EADA61"/>
    <w:multiLevelType w:val="hybridMultilevel"/>
    <w:lvl w:ilvl="0">
      <w:lvlJc w:val="left"/>
      <w:lvlText w:val="%1."/>
      <w:numFmt w:val="decimal"/>
      <w:start w:val="13"/>
    </w:lvl>
  </w:abstractNum>
  <w:abstractNum w:abstractNumId="147">
    <w:nsid w:val="27179C0B"/>
    <w:multiLevelType w:val="hybridMultilevel"/>
    <w:lvl w:ilvl="0">
      <w:lvlJc w:val="left"/>
      <w:lvlText w:val="%1."/>
      <w:numFmt w:val="decimal"/>
      <w:start w:val="13"/>
    </w:lvl>
  </w:abstractNum>
  <w:abstractNum w:abstractNumId="148">
    <w:nsid w:val="5E636063"/>
    <w:multiLevelType w:val="hybridMultilevel"/>
    <w:lvl w:ilvl="0">
      <w:lvlJc w:val="left"/>
      <w:lvlText w:val="%1."/>
      <w:numFmt w:val="decimal"/>
      <w:start w:val="13"/>
    </w:lvl>
  </w:abstractNum>
  <w:abstractNum w:abstractNumId="149">
    <w:nsid w:val="215641AF"/>
    <w:multiLevelType w:val="hybridMultilevel"/>
    <w:lvl w:ilvl="0">
      <w:lvlJc w:val="left"/>
      <w:lvlText w:val="%1."/>
      <w:numFmt w:val="decimal"/>
      <w:start w:val="14"/>
    </w:lvl>
  </w:abstractNum>
  <w:abstractNum w:abstractNumId="150">
    <w:nsid w:val="53280662"/>
    <w:multiLevelType w:val="hybridMultilevel"/>
    <w:lvl w:ilvl="0">
      <w:lvlJc w:val="left"/>
      <w:lvlText w:val="%1."/>
      <w:numFmt w:val="decimal"/>
      <w:start w:val="14"/>
    </w:lvl>
  </w:abstractNum>
  <w:abstractNum w:abstractNumId="151">
    <w:nsid w:val="46B24DBC"/>
    <w:multiLevelType w:val="hybridMultilevel"/>
    <w:lvl w:ilvl="0">
      <w:lvlJc w:val="left"/>
      <w:lvlText w:val="%1)"/>
      <w:numFmt w:val="lowerLetter"/>
      <w:start w:val="1"/>
    </w:lvl>
  </w:abstractNum>
  <w:abstractNum w:abstractNumId="152">
    <w:nsid w:val="75B52783"/>
    <w:multiLevelType w:val="hybridMultilevel"/>
    <w:lvl w:ilvl="0">
      <w:lvlJc w:val="left"/>
      <w:lvlText w:val="%1)"/>
      <w:numFmt w:val="lowerLetter"/>
      <w:start w:val="2"/>
    </w:lvl>
  </w:abstractNum>
  <w:abstractNum w:abstractNumId="153">
    <w:nsid w:val="57CE66B4"/>
    <w:multiLevelType w:val="hybridMultilevel"/>
    <w:lvl w:ilvl="0">
      <w:lvlJc w:val="left"/>
      <w:lvlText w:val="%1)"/>
      <w:numFmt w:val="lowerLetter"/>
      <w:start w:val="3"/>
    </w:lvl>
  </w:abstractNum>
  <w:abstractNum w:abstractNumId="154">
    <w:nsid w:val="67A70B69"/>
    <w:multiLevelType w:val="hybridMultilevel"/>
    <w:lvl w:ilvl="0">
      <w:lvlJc w:val="left"/>
      <w:lvlText w:val="*"/>
      <w:numFmt w:val="bullet"/>
      <w:start w:val="1"/>
    </w:lvl>
  </w:abstractNum>
  <w:abstractNum w:abstractNumId="155">
    <w:nsid w:val="5953172F"/>
    <w:multiLevelType w:val="hybridMultilevel"/>
    <w:lvl w:ilvl="0">
      <w:lvlJc w:val="left"/>
      <w:lvlText w:val="**"/>
      <w:numFmt w:val="bullet"/>
      <w:start w:val="1"/>
    </w:lvl>
  </w:abstractNum>
  <w:abstractNum w:abstractNumId="156">
    <w:nsid w:val="27EDFE3A"/>
    <w:multiLevelType w:val="hybridMultilevel"/>
    <w:lvl w:ilvl="0">
      <w:lvlJc w:val="left"/>
      <w:lvlText w:val="%1."/>
      <w:numFmt w:val="decimal"/>
      <w:start w:val="18"/>
    </w:lvl>
  </w:abstractNum>
  <w:abstractNum w:abstractNumId="157">
    <w:nsid w:val="52AC7DFF"/>
    <w:multiLevelType w:val="hybridMultilevel"/>
    <w:lvl w:ilvl="0">
      <w:lvlJc w:val="left"/>
      <w:lvlText w:val="%1."/>
      <w:numFmt w:val="decimal"/>
      <w:start w:val="22"/>
    </w:lvl>
  </w:abstractNum>
  <w:abstractNum w:abstractNumId="158">
    <w:nsid w:val="C4C3AF"/>
    <w:multiLevelType w:val="hybridMultilevel"/>
    <w:lvl w:ilvl="0">
      <w:lvlJc w:val="left"/>
      <w:lvlText w:val="%1."/>
      <w:numFmt w:val="decimal"/>
      <w:start w:val="22"/>
    </w:lvl>
  </w:abstractNum>
  <w:abstractNum w:abstractNumId="159">
    <w:nsid w:val="44380727"/>
    <w:multiLevelType w:val="hybridMultilevel"/>
    <w:lvl w:ilvl="0">
      <w:lvlJc w:val="left"/>
      <w:lvlText w:val="%1."/>
      <w:numFmt w:val="decimal"/>
      <w:start w:val="22"/>
    </w:lvl>
  </w:abstractNum>
  <w:abstractNum w:abstractNumId="160">
    <w:nsid w:val="6C053B16"/>
    <w:multiLevelType w:val="hybridMultilevel"/>
    <w:lvl w:ilvl="0">
      <w:lvlJc w:val="left"/>
      <w:lvlText w:val="%1."/>
      <w:numFmt w:val="decimal"/>
      <w:start w:val="22"/>
    </w:lvl>
  </w:abstractNum>
  <w:abstractNum w:abstractNumId="161">
    <w:nsid w:val="4F294393"/>
    <w:multiLevelType w:val="hybridMultilevel"/>
    <w:lvl w:ilvl="0">
      <w:lvlJc w:val="left"/>
      <w:lvlText w:val="(%1)"/>
      <w:numFmt w:val="decimal"/>
      <w:start w:val="1"/>
    </w:lvl>
  </w:abstractNum>
  <w:abstractNum w:abstractNumId="162">
    <w:nsid w:val="5243BFAC"/>
    <w:multiLevelType w:val="hybridMultilevel"/>
    <w:lvl w:ilvl="0">
      <w:lvlJc w:val="left"/>
      <w:lvlText w:val="(%1)"/>
      <w:numFmt w:val="lowerLetter"/>
      <w:start w:val="2"/>
    </w:lvl>
  </w:abstractNum>
  <w:abstractNum w:abstractNumId="163">
    <w:nsid w:val="425EB207"/>
    <w:multiLevelType w:val="hybridMultilevel"/>
    <w:lvl w:ilvl="0">
      <w:lvlJc w:val="left"/>
      <w:lvlText w:val="(%1)"/>
      <w:numFmt w:val="lowerLetter"/>
      <w:start w:val="1"/>
    </w:lvl>
    <w:lvl w:ilvl="1">
      <w:lvlJc w:val="left"/>
      <w:lvlText w:val="(%2)"/>
      <w:numFmt w:val="decimal"/>
      <w:start w:val="1"/>
    </w:lvl>
  </w:abstractNum>
  <w:abstractNum w:abstractNumId="164">
    <w:nsid w:val="334A6F1F"/>
    <w:multiLevelType w:val="hybridMultilevel"/>
    <w:lvl w:ilvl="0">
      <w:lvlJc w:val="left"/>
      <w:lvlText w:val="["/>
      <w:numFmt w:val="bullet"/>
      <w:start w:val="1"/>
    </w:lvl>
  </w:abstractNum>
  <w:abstractNum w:abstractNumId="165">
    <w:nsid w:val="2E5B12B8"/>
    <w:multiLevelType w:val="hybridMultilevel"/>
    <w:lvl w:ilvl="0">
      <w:lvlJc w:val="left"/>
      <w:lvlText w:val="%1."/>
      <w:numFmt w:val="decimal"/>
      <w:start w:val="1"/>
    </w:lvl>
  </w:abstractNum>
  <w:abstractNum w:abstractNumId="166">
    <w:nsid w:val="5C03D76D"/>
    <w:multiLevelType w:val="hybridMultilevel"/>
    <w:lvl w:ilvl="0">
      <w:lvlJc w:val="left"/>
      <w:lvlText w:val="%1."/>
      <w:numFmt w:val="decimal"/>
      <w:start w:val="2"/>
    </w:lvl>
  </w:abstractNum>
  <w:abstractNum w:abstractNumId="167">
    <w:nsid w:val="66A48D11"/>
    <w:multiLevelType w:val="hybridMultilevel"/>
    <w:lvl w:ilvl="0">
      <w:lvlJc w:val="left"/>
      <w:lvlText w:val="(%1)"/>
      <w:numFmt w:val="lowerLetter"/>
      <w:start w:val="1"/>
    </w:lvl>
  </w:abstractNum>
  <w:abstractNum w:abstractNumId="168">
    <w:nsid w:val="56C28E34"/>
    <w:multiLevelType w:val="hybridMultilevel"/>
    <w:lvl w:ilvl="0">
      <w:lvlJc w:val="left"/>
      <w:lvlText w:val="(%1)"/>
      <w:numFmt w:val="lowerLetter"/>
      <w:start w:val="2"/>
    </w:lvl>
  </w:abstractNum>
  <w:abstractNum w:abstractNumId="169">
    <w:nsid w:val="13916F2D"/>
    <w:multiLevelType w:val="hybridMultilevel"/>
    <w:lvl w:ilvl="0">
      <w:lvlJc w:val="left"/>
      <w:lvlText w:val="(%1)"/>
      <w:numFmt w:val="lowerLetter"/>
      <w:start w:val="4"/>
    </w:lvl>
  </w:abstractNum>
  <w:abstractNum w:abstractNumId="170">
    <w:nsid w:val="435D38D"/>
    <w:multiLevelType w:val="hybridMultilevel"/>
    <w:lvl w:ilvl="0">
      <w:lvlJc w:val="left"/>
      <w:lvlText w:val="(%1)"/>
      <w:numFmt w:val="lowerLetter"/>
      <w:start w:val="1"/>
    </w:lvl>
  </w:abstractNum>
  <w:abstractNum w:abstractNumId="171">
    <w:nsid w:val="822C0EF"/>
    <w:multiLevelType w:val="hybridMultilevel"/>
    <w:lvl w:ilvl="0">
      <w:lvlJc w:val="left"/>
      <w:lvlText w:val="(%1)"/>
      <w:numFmt w:val="lowerLetter"/>
      <w:start w:val="2"/>
    </w:lvl>
  </w:abstractNum>
  <w:abstractNum w:abstractNumId="172">
    <w:nsid w:val="57C5BB4F"/>
    <w:multiLevelType w:val="hybridMultilevel"/>
    <w:lvl w:ilvl="0">
      <w:lvlJc w:val="left"/>
      <w:lvlText w:val="%1"/>
      <w:numFmt w:val="lowerLetter"/>
      <w:start w:val="1"/>
    </w:lvl>
    <w:lvl w:ilvl="1">
      <w:lvlJc w:val="left"/>
      <w:lvlText w:val="(%2)"/>
      <w:numFmt w:val="lowerLetter"/>
      <w:start w:val="4"/>
    </w:lvl>
  </w:abstractNum>
  <w:abstractNum w:abstractNumId="173">
    <w:nsid w:val="1803D089"/>
    <w:multiLevelType w:val="hybridMultilevel"/>
    <w:lvl w:ilvl="0">
      <w:lvlJc w:val="left"/>
      <w:lvlText w:val="(%1)"/>
      <w:numFmt w:val="lowerLetter"/>
      <w:start w:val="9"/>
    </w:lvl>
    <w:lvl w:ilvl="1">
      <w:lvlJc w:val="left"/>
      <w:lvlText w:val="(%2)"/>
      <w:numFmt w:val="lowerLetter"/>
      <w:start w:val="5"/>
    </w:lvl>
  </w:abstractNum>
  <w:abstractNum w:abstractNumId="174">
    <w:nsid w:val="4F3A06D4"/>
    <w:multiLevelType w:val="hybridMultilevel"/>
    <w:lvl w:ilvl="0">
      <w:lvlJc w:val="left"/>
      <w:lvlText w:val="(%1)"/>
      <w:numFmt w:val="lowerLetter"/>
      <w:start w:val="35"/>
    </w:lvl>
    <w:lvl w:ilvl="1">
      <w:lvlJc w:val="left"/>
      <w:lvlText w:val="(%2)"/>
      <w:numFmt w:val="lowerLetter"/>
      <w:start w:val="7"/>
    </w:lvl>
  </w:abstractNum>
  <w:abstractNum w:abstractNumId="175">
    <w:nsid w:val="59A377B6"/>
    <w:multiLevelType w:val="hybridMultilevel"/>
    <w:lvl w:ilvl="0">
      <w:lvlJc w:val="left"/>
      <w:lvlText w:val="(%1)"/>
      <w:numFmt w:val="lowerLetter"/>
      <w:start w:val="8"/>
    </w:lvl>
  </w:abstractNum>
  <w:abstractNum w:abstractNumId="176">
    <w:nsid w:val="48AEB063"/>
    <w:multiLevelType w:val="hybridMultilevel"/>
    <w:lvl w:ilvl="0">
      <w:lvlJc w:val="left"/>
      <w:lvlText w:val="(%1)"/>
      <w:numFmt w:val="lowerLetter"/>
      <w:start w:val="10"/>
    </w:lvl>
  </w:abstractNum>
  <w:abstractNum w:abstractNumId="177">
    <w:nsid w:val="24E135"/>
    <w:multiLevelType w:val="hybridMultilevel"/>
    <w:lvl w:ilvl="0">
      <w:lvlJc w:val="left"/>
      <w:lvlText w:val="%1"/>
      <w:numFmt w:val="lowerLetter"/>
      <w:start w:val="1"/>
    </w:lvl>
    <w:lvl w:ilvl="1">
      <w:lvlJc w:val="left"/>
      <w:lvlText w:val="(%2)"/>
      <w:numFmt w:val="lowerLetter"/>
      <w:start w:val="12"/>
    </w:lvl>
  </w:abstractNum>
  <w:abstractNum w:abstractNumId="178">
    <w:nsid w:val="BB13C1"/>
    <w:multiLevelType w:val="hybridMultilevel"/>
    <w:lvl w:ilvl="0">
      <w:lvlJc w:val="left"/>
      <w:lvlText w:val="(%1)"/>
      <w:numFmt w:val="lowerLetter"/>
      <w:start w:val="35"/>
    </w:lvl>
    <w:lvl w:ilvl="1">
      <w:lvlJc w:val="left"/>
      <w:lvlText w:val="(%2)"/>
      <w:numFmt w:val="lowerLetter"/>
      <w:start w:val="13"/>
    </w:lvl>
  </w:abstractNum>
  <w:abstractNum w:abstractNumId="179">
    <w:nsid w:val="271210C7"/>
    <w:multiLevelType w:val="hybridMultilevel"/>
    <w:lvl w:ilvl="0">
      <w:lvlJc w:val="left"/>
      <w:lvlText w:val="(%1)"/>
      <w:numFmt w:val="lowerLetter"/>
      <w:start w:val="14"/>
    </w:lvl>
  </w:abstractNum>
  <w:abstractNum w:abstractNumId="180">
    <w:nsid w:val="217B22E4"/>
    <w:multiLevelType w:val="hybridMultilevel"/>
    <w:lvl w:ilvl="0">
      <w:lvlJc w:val="left"/>
      <w:lvlText w:val="(%1)"/>
      <w:numFmt w:val="lowerLetter"/>
      <w:start w:val="19"/>
    </w:lvl>
  </w:abstractNum>
  <w:abstractNum w:abstractNumId="181">
    <w:nsid w:val="53E31A24"/>
    <w:multiLevelType w:val="hybridMultilevel"/>
    <w:lvl w:ilvl="0">
      <w:lvlJc w:val="left"/>
      <w:lvlText w:val="(%1)"/>
      <w:numFmt w:val="lowerLetter"/>
      <w:start w:val="24"/>
    </w:lvl>
  </w:abstractNum>
  <w:abstractNum w:abstractNumId="182">
    <w:nsid w:val="6DC45E83"/>
    <w:multiLevelType w:val="hybridMultilevel"/>
    <w:lvl w:ilvl="0">
      <w:lvlJc w:val="left"/>
      <w:lvlText w:val="(%1)"/>
      <w:numFmt w:val="lowerLetter"/>
      <w:start w:val="27"/>
    </w:lvl>
  </w:abstractNum>
  <w:abstractNum w:abstractNumId="183">
    <w:nsid w:val="17304A67"/>
    <w:multiLevelType w:val="hybridMultilevel"/>
    <w:lvl w:ilvl="0">
      <w:lvlJc w:val="left"/>
      <w:lvlText w:val="(%1)"/>
      <w:numFmt w:val="lowerLetter"/>
      <w:start w:val="28"/>
    </w:lvl>
  </w:abstractNum>
  <w:abstractNum w:abstractNumId="184">
    <w:nsid w:val="2BB180D8"/>
    <w:multiLevelType w:val="hybridMultilevel"/>
    <w:lvl w:ilvl="0">
      <w:lvlJc w:val="left"/>
      <w:lvlText w:val="(%1)"/>
      <w:numFmt w:val="lowerLetter"/>
      <w:start w:val="33"/>
    </w:lvl>
  </w:abstractNum>
  <w:abstractNum w:abstractNumId="185">
    <w:nsid w:val="556B69ED"/>
    <w:multiLevelType w:val="hybridMultilevel"/>
    <w:lvl w:ilvl="0">
      <w:lvlJc w:val="left"/>
      <w:lvlText w:val="%1"/>
      <w:numFmt w:val="lowerLetter"/>
      <w:start w:val="1"/>
    </w:lvl>
    <w:lvl w:ilvl="1">
      <w:lvlJc w:val="left"/>
      <w:lvlText w:val="(%2)"/>
      <w:numFmt w:val="lowerLetter"/>
      <w:start w:val="36"/>
    </w:lvl>
  </w:abstractNum>
  <w:abstractNum w:abstractNumId="186">
    <w:nsid w:val="70836196"/>
    <w:multiLevelType w:val="hybridMultilevel"/>
    <w:lvl w:ilvl="0">
      <w:lvlJc w:val="left"/>
      <w:lvlText w:val="(%1)"/>
      <w:numFmt w:val="lowerLetter"/>
      <w:start w:val="35"/>
    </w:lvl>
    <w:lvl w:ilvl="1">
      <w:lvlJc w:val="left"/>
      <w:lvlText w:val="(%2)"/>
      <w:numFmt w:val="lowerLetter"/>
      <w:start w:val="37"/>
    </w:lvl>
  </w:abstractNum>
  <w:abstractNum w:abstractNumId="187">
    <w:nsid w:val="539F7F12"/>
    <w:multiLevelType w:val="hybridMultilevel"/>
    <w:lvl w:ilvl="0">
      <w:lvlJc w:val="left"/>
      <w:lvlText w:val="%1"/>
      <w:numFmt w:val="lowerLetter"/>
      <w:start w:val="1"/>
    </w:lvl>
    <w:lvl w:ilvl="1">
      <w:lvlJc w:val="left"/>
      <w:lvlText w:val="(%2)"/>
      <w:numFmt w:val="lowerLetter"/>
      <w:start w:val="39"/>
    </w:lvl>
  </w:abstractNum>
  <w:abstractNum w:abstractNumId="188">
    <w:nsid w:val="2817E7EC"/>
    <w:multiLevelType w:val="hybridMultilevel"/>
    <w:lvl w:ilvl="0">
      <w:lvlJc w:val="left"/>
      <w:lvlText w:val="(%1)"/>
      <w:numFmt w:val="lowerLetter"/>
      <w:start w:val="35"/>
    </w:lvl>
    <w:lvl w:ilvl="1">
      <w:lvlJc w:val="left"/>
      <w:lvlText w:val="%2"/>
      <w:numFmt w:val="lowerLetter"/>
      <w:start w:val="1"/>
    </w:lvl>
  </w:abstractNum>
  <w:abstractNum w:abstractNumId="189">
    <w:nsid w:val="71482545"/>
    <w:multiLevelType w:val="hybridMultilevel"/>
    <w:lvl w:ilvl="0">
      <w:lvlJc w:val="left"/>
      <w:lvlText w:val="%1"/>
      <w:numFmt w:val="lowerLetter"/>
      <w:start w:val="1"/>
    </w:lvl>
    <w:lvl w:ilvl="1">
      <w:lvlJc w:val="left"/>
      <w:lvlText w:val="(%2)"/>
      <w:numFmt w:val="lowerLetter"/>
      <w:start w:val="41"/>
    </w:lvl>
  </w:abstractNum>
  <w:abstractNum w:abstractNumId="190">
    <w:nsid w:val="17D78639"/>
    <w:multiLevelType w:val="hybridMultilevel"/>
    <w:lvl w:ilvl="0">
      <w:lvlJc w:val="left"/>
      <w:lvlText w:val="(%1)"/>
      <w:numFmt w:val="lowerLetter"/>
      <w:start w:val="9"/>
    </w:lvl>
    <w:lvl w:ilvl="1">
      <w:lvlJc w:val="left"/>
      <w:lvlText w:val="(%2)"/>
      <w:numFmt w:val="lowerLetter"/>
      <w:start w:val="43"/>
    </w:lvl>
  </w:abstractNum>
  <w:abstractNum w:abstractNumId="191">
    <w:nsid w:val="141D2302"/>
    <w:multiLevelType w:val="hybridMultilevel"/>
    <w:lvl w:ilvl="0">
      <w:lvlJc w:val="left"/>
      <w:lvlText w:val="(%1)"/>
      <w:numFmt w:val="lowerLetter"/>
      <w:start w:val="44"/>
    </w:lvl>
  </w:abstractNum>
  <w:abstractNum w:abstractNumId="192">
    <w:nsid w:val="407168D8"/>
    <w:multiLevelType w:val="hybridMultilevel"/>
    <w:lvl w:ilvl="0">
      <w:lvlJc w:val="left"/>
      <w:lvlText w:val="(%1)"/>
      <w:numFmt w:val="lowerLetter"/>
      <w:start w:val="47"/>
    </w:lvl>
  </w:abstractNum>
  <w:abstractNum w:abstractNumId="193">
    <w:nsid w:val="6A1B45E5"/>
    <w:multiLevelType w:val="hybridMultilevel"/>
    <w:lvl w:ilvl="0">
      <w:lvlJc w:val="left"/>
      <w:lvlText w:val="(%1)"/>
      <w:numFmt w:val="lowerLetter"/>
      <w:start w:val="50"/>
    </w:lvl>
  </w:abstractNum>
  <w:abstractNum w:abstractNumId="194">
    <w:nsid w:val="567BD50A"/>
    <w:multiLevelType w:val="hybridMultilevel"/>
    <w:lvl w:ilvl="0">
      <w:lvlJc w:val="left"/>
      <w:lvlText w:val="(%1)"/>
      <w:numFmt w:val="lowerLetter"/>
      <w:start w:val="53"/>
    </w:lvl>
  </w:abstractNum>
  <w:abstractNum w:abstractNumId="195">
    <w:nsid w:val="73BBD7F8"/>
    <w:multiLevelType w:val="hybridMultilevel"/>
    <w:lvl w:ilvl="0">
      <w:lvlJc w:val="left"/>
      <w:lvlText w:val="(%1)"/>
      <w:numFmt w:val="lowerLetter"/>
      <w:start w:val="58"/>
    </w:lvl>
  </w:abstractNum>
  <w:abstractNum w:abstractNumId="196">
    <w:nsid w:val="1876589D"/>
    <w:multiLevelType w:val="hybridMultilevel"/>
    <w:lvl w:ilvl="0">
      <w:lvlJc w:val="left"/>
      <w:lvlText w:val="(%1)"/>
      <w:numFmt w:val="lowerLetter"/>
      <w:start w:val="61"/>
    </w:lvl>
  </w:abstractNum>
  <w:abstractNum w:abstractNumId="197">
    <w:nsid w:val="327FAC77"/>
    <w:multiLevelType w:val="hybridMultilevel"/>
    <w:lvl w:ilvl="0">
      <w:lvlJc w:val="left"/>
      <w:lvlText w:val="%1"/>
      <w:numFmt w:val="lowerLetter"/>
      <w:start w:val="1"/>
    </w:lvl>
    <w:lvl w:ilvl="1">
      <w:lvlJc w:val="left"/>
      <w:lvlText w:val="(%2)"/>
      <w:numFmt w:val="lowerLetter"/>
      <w:start w:val="63"/>
    </w:lvl>
  </w:abstractNum>
  <w:abstractNum w:abstractNumId="198">
    <w:nsid w:val="5A606509"/>
    <w:multiLevelType w:val="hybridMultilevel"/>
    <w:lvl w:ilvl="0">
      <w:lvlJc w:val="left"/>
      <w:lvlText w:val="(%1)"/>
      <w:numFmt w:val="lowerLetter"/>
      <w:start w:val="1"/>
    </w:lvl>
    <w:lvl w:ilvl="1">
      <w:lvlJc w:val="left"/>
      <w:lvlText w:val="(%2)"/>
      <w:numFmt w:val="lowerLetter"/>
      <w:start w:val="64"/>
    </w:lvl>
  </w:abstractNum>
  <w:abstractNum w:abstractNumId="199">
    <w:nsid w:val="6F38E6D1"/>
    <w:multiLevelType w:val="hybridMultilevel"/>
    <w:lvl w:ilvl="0">
      <w:lvlJc w:val="left"/>
      <w:lvlText w:val="(%1)"/>
      <w:numFmt w:val="lowerLetter"/>
      <w:start w:val="66"/>
    </w:lvl>
  </w:abstractNum>
  <w:abstractNum w:abstractNumId="200">
    <w:nsid w:val="46111BA5"/>
    <w:multiLevelType w:val="hybridMultilevel"/>
    <w:lvl w:ilvl="0">
      <w:lvlJc w:val="left"/>
      <w:lvlText w:val="(%1)"/>
      <w:numFmt w:val="lowerLetter"/>
      <w:start w:val="68"/>
    </w:lvl>
  </w:abstractNum>
  <w:abstractNum w:abstractNumId="201">
    <w:nsid w:val="5E963896"/>
    <w:multiLevelType w:val="hybridMultilevel"/>
    <w:lvl w:ilvl="0">
      <w:lvlJc w:val="left"/>
      <w:lvlText w:val="(%1)"/>
      <w:numFmt w:val="lowerLetter"/>
      <w:start w:val="1"/>
    </w:lvl>
  </w:abstractNum>
  <w:abstractNum w:abstractNumId="202">
    <w:nsid w:val="775BA7C1"/>
    <w:multiLevelType w:val="hybridMultilevel"/>
    <w:lvl w:ilvl="0">
      <w:lvlJc w:val="left"/>
      <w:lvlText w:val="%1"/>
      <w:numFmt w:val="upperLetter"/>
      <w:start w:val="1"/>
    </w:lvl>
    <w:lvl w:ilvl="1">
      <w:lvlJc w:val="left"/>
      <w:lvlText w:val="(%2)"/>
      <w:numFmt w:val="lowerLetter"/>
      <w:start w:val="2"/>
    </w:lvl>
  </w:abstractNum>
  <w:abstractNum w:abstractNumId="203">
    <w:nsid w:val="1DD6D6F4"/>
    <w:multiLevelType w:val="hybridMultilevel"/>
    <w:lvl w:ilvl="0">
      <w:lvlJc w:val="left"/>
      <w:lvlText w:val="(%1)"/>
      <w:numFmt w:val="upperLetter"/>
      <w:start w:val="2"/>
    </w:lvl>
    <w:lvl w:ilvl="1">
      <w:lvlJc w:val="left"/>
      <w:lvlText w:val="(%2)"/>
      <w:numFmt w:val="lowerLetter"/>
      <w:start w:val="3"/>
    </w:lvl>
  </w:abstractNum>
  <w:abstractNum w:abstractNumId="204">
    <w:nsid w:val="769A091F"/>
    <w:multiLevelType w:val="hybridMultilevel"/>
    <w:lvl w:ilvl="0">
      <w:lvlJc w:val="left"/>
      <w:lvlText w:val="%1"/>
      <w:numFmt w:val="decimal"/>
      <w:start w:val="1"/>
    </w:lvl>
    <w:lvl w:ilvl="1">
      <w:lvlJc w:val="left"/>
      <w:lvlText w:val="(%2)"/>
      <w:numFmt w:val="lowerLetter"/>
      <w:start w:val="5"/>
    </w:lvl>
  </w:abstractNum>
  <w:abstractNum w:abstractNumId="205">
    <w:nsid w:val="4695AE95"/>
    <w:multiLevelType w:val="hybridMultilevel"/>
    <w:lvl w:ilvl="0">
      <w:lvlJc w:val="left"/>
      <w:lvlText w:val="(%1)"/>
      <w:numFmt w:val="decimal"/>
      <w:start w:val="2"/>
    </w:lvl>
    <w:lvl w:ilvl="1">
      <w:lvlJc w:val="left"/>
      <w:lvlText w:val="(%2)"/>
      <w:numFmt w:val="lowerLetter"/>
      <w:start w:val="6"/>
    </w:lvl>
  </w:abstractNum>
  <w:abstractNum w:abstractNumId="206">
    <w:nsid w:val="777A4EAA"/>
    <w:multiLevelType w:val="hybridMultilevel"/>
    <w:lvl w:ilvl="0">
      <w:lvlJc w:val="left"/>
      <w:lvlText w:val="%1"/>
      <w:numFmt w:val="lowerLetter"/>
      <w:start w:val="1"/>
    </w:lvl>
    <w:lvl w:ilvl="1">
      <w:lvlJc w:val="left"/>
      <w:lvlText w:val="(%2)"/>
      <w:numFmt w:val="lowerLetter"/>
      <w:start w:val="7"/>
    </w:lvl>
  </w:abstractNum>
  <w:abstractNum w:abstractNumId="207">
    <w:nsid w:val="3F48B982"/>
    <w:multiLevelType w:val="hybridMultilevel"/>
    <w:lvl w:ilvl="0">
      <w:lvlJc w:val="left"/>
      <w:lvlText w:val="(%1)"/>
      <w:numFmt w:val="lowerLetter"/>
      <w:start w:val="35"/>
    </w:lvl>
    <w:lvl w:ilvl="1">
      <w:lvlJc w:val="left"/>
      <w:lvlText w:val="%2"/>
      <w:numFmt w:val="lowerLetter"/>
      <w:start w:val="1"/>
    </w:lvl>
  </w:abstractNum>
  <w:abstractNum w:abstractNumId="208">
    <w:nsid w:val="46BA8FCA"/>
    <w:multiLevelType w:val="hybridMultilevel"/>
    <w:lvl w:ilvl="0">
      <w:lvlJc w:val="left"/>
      <w:lvlText w:val="(%1)"/>
      <w:numFmt w:val="lowerLetter"/>
      <w:start w:val="9"/>
    </w:lvl>
  </w:abstractNum>
  <w:abstractNum w:abstractNumId="209">
    <w:nsid w:val="7835626C"/>
    <w:multiLevelType w:val="hybridMultilevel"/>
    <w:lvl w:ilvl="0">
      <w:lvlJc w:val="left"/>
      <w:lvlText w:val="(%1)"/>
      <w:numFmt w:val="lowerLetter"/>
      <w:start w:val="16"/>
    </w:lvl>
  </w:abstractNum>
  <w:abstractNum w:abstractNumId="210">
    <w:nsid w:val="665ACA49"/>
    <w:multiLevelType w:val="hybridMultilevel"/>
    <w:lvl w:ilvl="0">
      <w:lvlJc w:val="left"/>
      <w:lvlText w:val="(%1)"/>
      <w:numFmt w:val="lowerLetter"/>
      <w:start w:val="1"/>
    </w:lvl>
  </w:abstractNum>
  <w:abstractNum w:abstractNumId="211">
    <w:nsid w:val="6835B2AE"/>
    <w:multiLevelType w:val="hybridMultilevel"/>
    <w:lvl w:ilvl="0">
      <w:lvlJc w:val="left"/>
      <w:lvlText w:val="(%1)"/>
      <w:numFmt w:val="lowerLetter"/>
      <w:start w:val="3"/>
    </w:lvl>
  </w:abstractNum>
  <w:abstractNum w:abstractNumId="212">
    <w:nsid w:val="4C187C90"/>
    <w:multiLevelType w:val="hybridMultilevel"/>
    <w:lvl w:ilvl="0">
      <w:lvlJc w:val="left"/>
      <w:lvlText w:val="%1."/>
      <w:numFmt w:val="decimal"/>
      <w:start w:val="6"/>
    </w:lvl>
  </w:abstractNum>
  <w:abstractNum w:abstractNumId="213">
    <w:nsid w:val="541F28CD"/>
    <w:multiLevelType w:val="hybridMultilevel"/>
    <w:lvl w:ilvl="0">
      <w:lvlJc w:val="left"/>
      <w:lvlText w:val="%1"/>
      <w:numFmt w:val="lowerLetter"/>
      <w:start w:val="1"/>
    </w:lvl>
    <w:lvl w:ilvl="1">
      <w:lvlJc w:val="left"/>
      <w:lvlText w:val="(%2)"/>
      <w:numFmt w:val="lowerLetter"/>
      <w:start w:val="1"/>
    </w:lvl>
  </w:abstractNum>
  <w:abstractNum w:abstractNumId="214">
    <w:nsid w:val="7F65FD16"/>
    <w:multiLevelType w:val="hybridMultilevel"/>
    <w:lvl w:ilvl="0">
      <w:lvlJc w:val="left"/>
      <w:lvlText w:val="(%1)"/>
      <w:numFmt w:val="lowerLetter"/>
      <w:start w:val="24"/>
    </w:lvl>
    <w:lvl w:ilvl="1">
      <w:lvlJc w:val="left"/>
      <w:lvlText w:val="%2"/>
      <w:numFmt w:val="lowerLetter"/>
      <w:start w:val="1"/>
    </w:lvl>
  </w:abstractNum>
  <w:abstractNum w:abstractNumId="215">
    <w:nsid w:val="77C9FD68"/>
    <w:multiLevelType w:val="hybridMultilevel"/>
    <w:lvl w:ilvl="0">
      <w:lvlJc w:val="left"/>
      <w:lvlText w:val="(%1)"/>
      <w:numFmt w:val="lowerLetter"/>
      <w:start w:val="5"/>
    </w:lvl>
  </w:abstractNum>
  <w:abstractNum w:abstractNumId="216">
    <w:nsid w:val="298A92BA"/>
    <w:multiLevelType w:val="hybridMultilevel"/>
    <w:lvl w:ilvl="0">
      <w:lvlJc w:val="left"/>
      <w:lvlText w:val="(%1)"/>
      <w:numFmt w:val="lowerLetter"/>
      <w:start w:val="9"/>
    </w:lvl>
  </w:abstractNum>
  <w:abstractNum w:abstractNumId="217">
    <w:nsid w:val="6FE95EAC"/>
    <w:multiLevelType w:val="hybridMultilevel"/>
    <w:lvl w:ilvl="0">
      <w:lvlJc w:val="left"/>
      <w:lvlText w:val="(%1)"/>
      <w:numFmt w:val="lowerLetter"/>
      <w:start w:val="18"/>
    </w:lvl>
  </w:abstractNum>
  <w:abstractNum w:abstractNumId="218">
    <w:nsid w:val="4B697C7A"/>
    <w:multiLevelType w:val="hybridMultilevel"/>
    <w:lvl w:ilvl="0">
      <w:lvlJc w:val="left"/>
      <w:lvlText w:val="%1."/>
      <w:numFmt w:val="decimal"/>
      <w:start w:val="7"/>
    </w:lvl>
  </w:abstractNum>
  <w:abstractNum w:abstractNumId="219">
    <w:nsid w:val="51A27AA6"/>
    <w:multiLevelType w:val="hybridMultilevel"/>
    <w:lvl w:ilvl="0">
      <w:lvlJc w:val="left"/>
      <w:lvlText w:val="(%1)"/>
      <w:numFmt w:val="lowerLetter"/>
      <w:start w:val="1"/>
    </w:lvl>
  </w:abstractNum>
  <w:abstractNum w:abstractNumId="220">
    <w:nsid w:val="613183F2"/>
    <w:multiLevelType w:val="hybridMultilevel"/>
    <w:lvl w:ilvl="0">
      <w:lvlJc w:val="left"/>
      <w:lvlText w:val="(%1)"/>
      <w:numFmt w:val="lowerLetter"/>
      <w:start w:val="2"/>
    </w:lvl>
  </w:abstractNum>
  <w:abstractNum w:abstractNumId="221">
    <w:nsid w:val="634102B4"/>
    <w:multiLevelType w:val="hybridMultilevel"/>
    <w:lvl w:ilvl="0">
      <w:lvlJc w:val="left"/>
      <w:lvlText w:val="(%1)"/>
      <w:numFmt w:val="lowerLetter"/>
      <w:start w:val="4"/>
    </w:lvl>
  </w:abstractNum>
  <w:abstractNum w:abstractNumId="222">
    <w:nsid w:val="65BF9DA8"/>
    <w:multiLevelType w:val="hybridMultilevel"/>
    <w:lvl w:ilvl="0">
      <w:lvlJc w:val="left"/>
      <w:lvlText w:val="%1"/>
      <w:numFmt w:val="lowerLetter"/>
      <w:start w:val="1"/>
    </w:lvl>
    <w:lvl w:ilvl="1">
      <w:lvlJc w:val="left"/>
      <w:lvlText w:val="(%2)"/>
      <w:numFmt w:val="lowerLetter"/>
      <w:start w:val="5"/>
    </w:lvl>
  </w:abstractNum>
  <w:abstractNum w:abstractNumId="223">
    <w:nsid w:val="21A2ECCA"/>
    <w:multiLevelType w:val="hybridMultilevel"/>
    <w:lvl w:ilvl="0">
      <w:lvlJc w:val="left"/>
      <w:lvlText w:val="(%1)"/>
      <w:numFmt w:val="lowerLetter"/>
      <w:start w:val="4"/>
    </w:lvl>
    <w:lvl w:ilvl="1">
      <w:lvlJc w:val="left"/>
      <w:lvlText w:val="(%2)"/>
      <w:numFmt w:val="lowerLetter"/>
      <w:start w:val="6"/>
    </w:lvl>
  </w:abstractNum>
  <w:abstractNum w:abstractNumId="224">
    <w:nsid w:val="4D5C4899"/>
    <w:multiLevelType w:val="hybridMultilevel"/>
    <w:lvl w:ilvl="0">
      <w:lvlJc w:val="left"/>
      <w:lvlText w:val="%1"/>
      <w:numFmt w:val="lowerRoman"/>
      <w:start w:val="1"/>
    </w:lvl>
    <w:lvl w:ilvl="1">
      <w:lvlJc w:val="left"/>
      <w:lvlText w:val="%2."/>
      <w:numFmt w:val="decimal"/>
      <w:start w:val="8"/>
    </w:lvl>
  </w:abstractNum>
  <w:abstractNum w:abstractNumId="225">
    <w:nsid w:val="3C3B72B2"/>
    <w:multiLevelType w:val="hybridMultilevel"/>
    <w:lvl w:ilvl="0">
      <w:lvlJc w:val="left"/>
      <w:lvlText w:val="(%1)"/>
      <w:numFmt w:val="lowerRoman"/>
      <w:start w:val="2"/>
    </w:lvl>
    <w:lvl w:ilvl="1">
      <w:lvlJc w:val="left"/>
      <w:lvlText w:val="%2"/>
      <w:numFmt w:val="decimal"/>
      <w:start w:val="1"/>
    </w:lvl>
  </w:abstractNum>
  <w:abstractNum w:abstractNumId="226">
    <w:nsid w:val="155EC4C2"/>
    <w:multiLevelType w:val="hybridMultilevel"/>
    <w:lvl w:ilvl="0">
      <w:lvlJc w:val="left"/>
      <w:lvlText w:val="%1."/>
      <w:numFmt w:val="decimal"/>
      <w:start w:val="10"/>
    </w:lvl>
  </w:abstractNum>
  <w:abstractNum w:abstractNumId="227">
    <w:nsid w:val="65D2A137"/>
    <w:multiLevelType w:val="hybridMultilevel"/>
    <w:lvl w:ilvl="0">
      <w:lvlJc w:val="left"/>
      <w:lvlText w:val="(%1)"/>
      <w:numFmt w:val="lowerLetter"/>
      <w:start w:val="1"/>
    </w:lvl>
  </w:abstractNum>
  <w:abstractNum w:abstractNumId="228">
    <w:nsid w:val="6EBB1F2A"/>
    <w:multiLevelType w:val="hybridMultilevel"/>
    <w:lvl w:ilvl="0">
      <w:lvlJc w:val="left"/>
      <w:lvlText w:val="(%1)"/>
      <w:numFmt w:val="lowerLetter"/>
      <w:start w:val="4"/>
    </w:lvl>
  </w:abstractNum>
  <w:abstractNum w:abstractNumId="229">
    <w:nsid w:val="6FBF29CB"/>
    <w:multiLevelType w:val="hybridMultilevel"/>
    <w:lvl w:ilvl="0">
      <w:lvlJc w:val="left"/>
      <w:lvlText w:val="%1."/>
      <w:numFmt w:val="decimal"/>
      <w:start w:val="11"/>
    </w:lvl>
  </w:abstractNum>
  <w:abstractNum w:abstractNumId="230">
    <w:nsid w:val="550B8808"/>
    <w:multiLevelType w:val="hybridMultilevel"/>
    <w:lvl w:ilvl="0">
      <w:lvlJc w:val="left"/>
      <w:lvlText w:val="%1"/>
      <w:numFmt w:val="lowerLetter"/>
      <w:start w:val="1"/>
    </w:lvl>
    <w:lvl w:ilvl="1">
      <w:lvlJc w:val="left"/>
      <w:lvlText w:val="(%2)"/>
      <w:numFmt w:val="lowerLetter"/>
      <w:start w:val="1"/>
    </w:lvl>
  </w:abstractNum>
  <w:abstractNum w:abstractNumId="231">
    <w:nsid w:val="34CC3ACF"/>
    <w:multiLevelType w:val="hybridMultilevel"/>
    <w:lvl w:ilvl="0">
      <w:lvlJc w:val="left"/>
      <w:lvlText w:val="(%1)"/>
      <w:numFmt w:val="lowerLetter"/>
      <w:start w:val="22"/>
    </w:lvl>
    <w:lvl w:ilvl="1">
      <w:lvlJc w:val="left"/>
      <w:lvlText w:val="(%2)"/>
      <w:numFmt w:val="lowerLetter"/>
      <w:start w:val="2"/>
    </w:lvl>
  </w:abstractNum>
  <w:abstractNum w:abstractNumId="232">
    <w:nsid w:val="4E556261"/>
    <w:multiLevelType w:val="hybridMultilevel"/>
    <w:lvl w:ilvl="0">
      <w:lvlJc w:val="left"/>
      <w:lvlText w:val="%1."/>
      <w:numFmt w:val="decimal"/>
      <w:start w:val="12"/>
    </w:lvl>
  </w:abstractNum>
  <w:abstractNum w:abstractNumId="233">
    <w:nsid w:val="4C672FC9"/>
    <w:multiLevelType w:val="hybridMultilevel"/>
    <w:lvl w:ilvl="0">
      <w:lvlJc w:val="left"/>
      <w:lvlText w:val="%1."/>
      <w:numFmt w:val="decimal"/>
      <w:start w:val="13"/>
    </w:lvl>
  </w:abstractNum>
  <w:abstractNum w:abstractNumId="234">
    <w:nsid w:val="52A311C3"/>
    <w:multiLevelType w:val="hybridMultilevel"/>
    <w:lvl w:ilvl="0">
      <w:lvlJc w:val="left"/>
      <w:lvlText w:val="(%1)"/>
      <w:numFmt w:val="lowerLetter"/>
      <w:start w:val="1"/>
    </w:lvl>
  </w:abstractNum>
  <w:abstractNum w:abstractNumId="235">
    <w:nsid w:val="44EF6B80"/>
    <w:multiLevelType w:val="hybridMultilevel"/>
    <w:lvl w:ilvl="0">
      <w:lvlJc w:val="left"/>
      <w:lvlText w:val="(%1)"/>
      <w:numFmt w:val="lowerLetter"/>
      <w:start w:val="2"/>
    </w:lvl>
  </w:abstractNum>
  <w:abstractNum w:abstractNumId="236">
    <w:nsid w:val="12FCDE5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37">
    <w:nsid w:val="4A1D606E"/>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238">
    <w:nsid w:val="4382503"/>
    <w:multiLevelType w:val="hybridMultilevel"/>
    <w:lvl w:ilvl="0">
      <w:lvlJc w:val="left"/>
      <w:lvlText w:val="(%1)"/>
      <w:numFmt w:val="lowerRoman"/>
      <w:start w:val="1"/>
    </w:lvl>
  </w:abstractNum>
  <w:abstractNum w:abstractNumId="239">
    <w:nsid w:val="59B76E28"/>
    <w:multiLevelType w:val="hybridMultilevel"/>
    <w:lvl w:ilvl="0">
      <w:lvlJc w:val="left"/>
      <w:lvlText w:val="%1"/>
      <w:numFmt w:val="lowerLetter"/>
      <w:start w:val="1"/>
    </w:lvl>
    <w:lvl w:ilvl="1">
      <w:lvlJc w:val="left"/>
      <w:lvlText w:val="(%2)"/>
      <w:numFmt w:val="lowerLetter"/>
      <w:start w:val="35"/>
    </w:lvl>
  </w:abstractNum>
  <w:abstractNum w:abstractNumId="240">
    <w:nsid w:val="4252C2DA"/>
    <w:multiLevelType w:val="hybridMultilevel"/>
    <w:lvl w:ilvl="0">
      <w:lvlJc w:val="left"/>
      <w:lvlText w:val="(%1)"/>
      <w:numFmt w:val="lowerLetter"/>
      <w:start w:val="8"/>
    </w:lvl>
    <w:lvl w:ilvl="1">
      <w:lvlJc w:val="left"/>
      <w:lvlText w:val="%2"/>
      <w:numFmt w:val="lowerLetter"/>
      <w:start w:val="1"/>
    </w:lvl>
  </w:abstractNum>
  <w:abstractNum w:abstractNumId="241">
    <w:nsid w:val="6A92EF4C"/>
    <w:multiLevelType w:val="hybridMultilevel"/>
    <w:lvl w:ilvl="0">
      <w:lvlJc w:val="left"/>
      <w:lvlText w:val="(%1)"/>
      <w:numFmt w:val="lowerRoman"/>
      <w:start w:val="1"/>
    </w:lvl>
  </w:abstractNum>
  <w:abstractNum w:abstractNumId="242">
    <w:nsid w:val="41ED20D7"/>
    <w:multiLevelType w:val="hybridMultilevel"/>
    <w:lvl w:ilvl="0">
      <w:lvlJc w:val="left"/>
      <w:lvlText w:val="(%1)"/>
      <w:numFmt w:val="lowerRoman"/>
      <w:start w:val="4"/>
    </w:lvl>
  </w:abstractNum>
  <w:abstractNum w:abstractNumId="243">
    <w:nsid w:val="E6B3F6A"/>
    <w:multiLevelType w:val="hybridMultilevel"/>
    <w:lvl w:ilvl="0">
      <w:lvlJc w:val="left"/>
      <w:lvlText w:val="(%1)"/>
      <w:numFmt w:val="lowerLetter"/>
      <w:start w:val="2"/>
    </w:lvl>
  </w:abstractNum>
  <w:abstractNum w:abstractNumId="244">
    <w:nsid w:val="3EB21819"/>
    <w:multiLevelType w:val="hybridMultilevel"/>
    <w:lvl w:ilvl="0">
      <w:lvlJc w:val="left"/>
      <w:lvlText w:val="(%1)"/>
      <w:numFmt w:val="decimal"/>
      <w:start w:val="5"/>
    </w:lvl>
  </w:abstractNum>
  <w:abstractNum w:abstractNumId="245">
    <w:nsid w:val="41531DED"/>
    <w:multiLevelType w:val="hybridMultilevel"/>
    <w:lvl w:ilvl="0">
      <w:lvlJc w:val="left"/>
      <w:lvlText w:val="(%1)"/>
      <w:numFmt w:val="lowerLetter"/>
      <w:start w:val="1"/>
    </w:lvl>
  </w:abstractNum>
  <w:abstractNum w:abstractNumId="246">
    <w:nsid w:val="6353CD2"/>
    <w:multiLevelType w:val="hybridMultilevel"/>
    <w:lvl w:ilvl="0">
      <w:lvlJc w:val="left"/>
      <w:lvlText w:val="(%1)"/>
      <w:numFmt w:val="lowerLetter"/>
      <w:start w:val="3"/>
    </w:lvl>
  </w:abstractNum>
  <w:abstractNum w:abstractNumId="247">
    <w:nsid w:val="683CAAD3"/>
    <w:multiLevelType w:val="hybridMultilevel"/>
    <w:lvl w:ilvl="0">
      <w:lvlJc w:val="left"/>
      <w:lvlText w:val="(%1)"/>
      <w:numFmt w:val="lowerRoman"/>
      <w:start w:val="1"/>
    </w:lvl>
  </w:abstractNum>
  <w:abstractNum w:abstractNumId="248">
    <w:nsid w:val="313C7C99"/>
    <w:multiLevelType w:val="hybridMultilevel"/>
    <w:lvl w:ilvl="0">
      <w:lvlJc w:val="left"/>
      <w:lvlText w:val="(%1)"/>
      <w:numFmt w:val="lowerRoman"/>
      <w:start w:val="2"/>
    </w:lvl>
  </w:abstractNum>
  <w:abstractNum w:abstractNumId="249">
    <w:nsid w:val="519EB94C"/>
    <w:multiLevelType w:val="hybridMultilevel"/>
    <w:lvl w:ilvl="0">
      <w:lvlJc w:val="left"/>
      <w:lvlText w:val="(%1)"/>
      <w:numFmt w:val="lowerRoman"/>
      <w:start w:val="2"/>
    </w:lvl>
  </w:abstractNum>
  <w:abstractNum w:abstractNumId="250">
    <w:nsid w:val="39DF2579"/>
    <w:multiLevelType w:val="hybridMultilevel"/>
    <w:lvl w:ilvl="0">
      <w:lvlJc w:val="left"/>
      <w:lvlText w:val="(%1)"/>
      <w:numFmt w:val="lowerRoman"/>
      <w:start w:val="2"/>
    </w:lvl>
  </w:abstractNum>
  <w:abstractNum w:abstractNumId="251">
    <w:nsid w:val="126E008B"/>
    <w:multiLevelType w:val="hybridMultilevel"/>
    <w:lvl w:ilvl="0">
      <w:lvlJc w:val="left"/>
      <w:lvlText w:val="(%1)"/>
      <w:numFmt w:val="lowerLetter"/>
      <w:start w:val="1"/>
    </w:lvl>
  </w:abstractNum>
  <w:abstractNum w:abstractNumId="252">
    <w:nsid w:val="34DFBC00"/>
    <w:multiLevelType w:val="hybridMultilevel"/>
    <w:lvl w:ilvl="0">
      <w:lvlJc w:val="left"/>
      <w:lvlText w:val="(%1)"/>
      <w:numFmt w:val="lowerRoman"/>
      <w:start w:val="1"/>
    </w:lvl>
  </w:abstractNum>
  <w:abstractNum w:abstractNumId="253">
    <w:nsid w:val="1F9EC322"/>
    <w:multiLevelType w:val="hybridMultilevel"/>
    <w:lvl w:ilvl="0">
      <w:lvlJc w:val="left"/>
      <w:lvlText w:val="(%1)"/>
      <w:numFmt w:val="lowerRoman"/>
      <w:start w:val="1"/>
    </w:lvl>
  </w:abstractNum>
  <w:abstractNum w:abstractNumId="254">
    <w:nsid w:val="3410ED56"/>
    <w:multiLevelType w:val="hybridMultilevel"/>
    <w:lvl w:ilvl="0">
      <w:lvlJc w:val="left"/>
      <w:lvlText w:val="(%1)"/>
      <w:numFmt w:val="lowerLetter"/>
      <w:start w:val="1"/>
    </w:lvl>
  </w:abstractNum>
  <w:abstractNum w:abstractNumId="255">
    <w:nsid w:val="23C049A"/>
    <w:multiLevelType w:val="hybridMultilevel"/>
    <w:lvl w:ilvl="0">
      <w:lvlJc w:val="left"/>
      <w:lvlText w:val="(%1)"/>
      <w:numFmt w:val="lowerLetter"/>
      <w:start w:val="4"/>
    </w:lvl>
  </w:abstractNum>
  <w:abstractNum w:abstractNumId="256">
    <w:nsid w:val="5BDA35D4"/>
    <w:multiLevelType w:val="hybridMultilevel"/>
    <w:lvl w:ilvl="0">
      <w:lvlJc w:val="left"/>
      <w:lvlText w:val="%1"/>
      <w:numFmt w:val="lowerRoman"/>
      <w:start w:val="1"/>
    </w:lvl>
    <w:lvl w:ilvl="1">
      <w:lvlJc w:val="left"/>
      <w:lvlText w:val="(%2)"/>
      <w:numFmt w:val="lowerLetter"/>
      <w:start w:val="1"/>
    </w:lvl>
  </w:abstractNum>
  <w:abstractNum w:abstractNumId="257">
    <w:nsid w:val="496FB218"/>
    <w:multiLevelType w:val="hybridMultilevel"/>
    <w:lvl w:ilvl="0">
      <w:lvlJc w:val="left"/>
      <w:lvlText w:val="(%1)"/>
      <w:numFmt w:val="lowerRoman"/>
      <w:start w:val="4"/>
    </w:lvl>
    <w:lvl w:ilvl="1">
      <w:lvlJc w:val="left"/>
      <w:lvlText w:val="(%2)"/>
      <w:numFmt w:val="lowerLetter"/>
      <w:start w:val="2"/>
    </w:lvl>
  </w:abstractNum>
  <w:abstractNum w:abstractNumId="258">
    <w:nsid w:val="680EA5D1"/>
    <w:multiLevelType w:val="hybridMultilevel"/>
    <w:lvl w:ilvl="0">
      <w:lvlJc w:val="left"/>
      <w:lvlText w:val="(%1)"/>
      <w:numFmt w:val="lowerLetter"/>
      <w:start w:val="4"/>
    </w:lvl>
  </w:abstractNum>
  <w:abstractNum w:abstractNumId="259">
    <w:nsid w:val="4A9554FE"/>
    <w:multiLevelType w:val="hybridMultilevel"/>
    <w:lvl w:ilvl="0">
      <w:lvlJc w:val="left"/>
      <w:lvlText w:val="%1"/>
      <w:numFmt w:val="lowerLetter"/>
      <w:start w:val="1"/>
    </w:lvl>
    <w:lvl w:ilvl="1">
      <w:lvlJc w:val="left"/>
      <w:lvlText w:val="(%2)"/>
      <w:numFmt w:val="lowerLetter"/>
      <w:start w:val="1"/>
    </w:lvl>
  </w:abstractNum>
  <w:abstractNum w:abstractNumId="260">
    <w:nsid w:val="392EDBE4"/>
    <w:multiLevelType w:val="hybridMultilevel"/>
    <w:lvl w:ilvl="0">
      <w:lvlJc w:val="left"/>
      <w:lvlText w:val="(%1)"/>
      <w:numFmt w:val="lowerLetter"/>
      <w:start w:val="61"/>
    </w:lvl>
    <w:lvl w:ilvl="1">
      <w:lvlJc w:val="left"/>
      <w:lvlText w:val="%2"/>
      <w:numFmt w:val="lowerLetter"/>
      <w:start w:val="1"/>
    </w:lvl>
  </w:abstractNum>
  <w:abstractNum w:abstractNumId="261">
    <w:nsid w:val="3D1A2DD9"/>
    <w:multiLevelType w:val="hybridMultilevel"/>
    <w:lvl w:ilvl="0">
      <w:lvlJc w:val="left"/>
      <w:lvlText w:val="(%1)"/>
      <w:numFmt w:val="lowerLetter"/>
      <w:start w:val="3"/>
    </w:lvl>
  </w:abstractNum>
  <w:abstractNum w:abstractNumId="262">
    <w:nsid w:val="7F618FCD"/>
    <w:multiLevelType w:val="hybridMultilevel"/>
    <w:lvl w:ilvl="0">
      <w:lvlJc w:val="left"/>
      <w:lvlText w:val="(%1)"/>
      <w:numFmt w:val="lowerRoman"/>
      <w:start w:val="1"/>
    </w:lvl>
  </w:abstractNum>
  <w:abstractNum w:abstractNumId="263">
    <w:nsid w:val="7843E45"/>
    <w:multiLevelType w:val="hybridMultilevel"/>
    <w:lvl w:ilvl="0">
      <w:lvlJc w:val="left"/>
      <w:lvlText w:val="(%1)"/>
      <w:numFmt w:val="decimal"/>
      <w:start w:val="4"/>
    </w:lvl>
  </w:abstractNum>
  <w:abstractNum w:abstractNumId="264">
    <w:nsid w:val="9815DA3"/>
    <w:multiLevelType w:val="hybridMultilevel"/>
    <w:lvl w:ilvl="0">
      <w:lvlJc w:val="left"/>
      <w:lvlText w:val="(%1)"/>
      <w:numFmt w:val="decimal"/>
      <w:start w:val="9"/>
    </w:lvl>
  </w:abstractNum>
  <w:abstractNum w:abstractNumId="265">
    <w:nsid w:val="5204A191"/>
    <w:multiLevelType w:val="hybridMultilevel"/>
    <w:lvl w:ilvl="0">
      <w:lvlJc w:val="left"/>
      <w:lvlText w:val="(%1)"/>
      <w:numFmt w:val="lowerLetter"/>
      <w:start w:val="1"/>
    </w:lvl>
  </w:abstractNum>
  <w:abstractNum w:abstractNumId="266">
    <w:nsid w:val="4C73A9C6"/>
    <w:multiLevelType w:val="hybridMultilevel"/>
    <w:lvl w:ilvl="0">
      <w:lvlJc w:val="left"/>
      <w:lvlText w:val="(%1)"/>
      <w:numFmt w:val="lowerLetter"/>
      <w:start w:val="4"/>
    </w:lvl>
  </w:abstractNum>
  <w:abstractNum w:abstractNumId="267">
    <w:nsid w:val="1C7E3C01"/>
    <w:multiLevelType w:val="hybridMultilevel"/>
    <w:lvl w:ilvl="0">
      <w:lvlJc w:val="left"/>
      <w:lvlText w:val="(%1)"/>
      <w:numFmt w:val="decimal"/>
      <w:start w:val="30"/>
    </w:lvl>
  </w:abstractNum>
  <w:abstractNum w:abstractNumId="268">
    <w:nsid w:val="1C2201FF"/>
    <w:multiLevelType w:val="hybridMultilevel"/>
    <w:lvl w:ilvl="0">
      <w:lvlJc w:val="left"/>
      <w:lvlText w:val="%1."/>
      <w:numFmt w:val="decimal"/>
      <w:start w:val="1"/>
    </w:lvl>
  </w:abstractNum>
  <w:abstractNum w:abstractNumId="269">
    <w:nsid w:val="50ABCEC9"/>
    <w:multiLevelType w:val="hybridMultilevel"/>
    <w:lvl w:ilvl="0">
      <w:lvlJc w:val="left"/>
      <w:lvlText w:val="%1."/>
      <w:numFmt w:val="decimal"/>
      <w:start w:val="2"/>
    </w:lvl>
  </w:abstractNum>
  <w:abstractNum w:abstractNumId="270">
    <w:nsid w:val="7635AA2A"/>
    <w:multiLevelType w:val="hybridMultilevel"/>
    <w:lvl w:ilvl="0">
      <w:lvlJc w:val="left"/>
      <w:lvlText w:val="%1."/>
      <w:numFmt w:val="decimal"/>
      <w:start w:val="3"/>
    </w:lvl>
  </w:abstractNum>
  <w:abstractNum w:abstractNumId="271">
    <w:nsid w:val="5E74C4D9"/>
    <w:multiLevelType w:val="hybridMultilevel"/>
    <w:lvl w:ilvl="0">
      <w:lvlJc w:val="left"/>
      <w:lvlText w:val="(%1)"/>
      <w:numFmt w:val="lowerRoman"/>
      <w:start w:val="2"/>
    </w:lvl>
  </w:abstractNum>
  <w:abstractNum w:abstractNumId="272">
    <w:nsid w:val="3B3EBE15"/>
    <w:multiLevelType w:val="hybridMultilevel"/>
    <w:lvl w:ilvl="0">
      <w:lvlJc w:val="left"/>
      <w:lvlText w:val="%1."/>
      <w:numFmt w:val="decimal"/>
      <w:start w:val="4"/>
    </w:lvl>
  </w:abstractNum>
  <w:abstractNum w:abstractNumId="273">
    <w:nsid w:val="3822CB01"/>
    <w:multiLevelType w:val="hybridMultilevel"/>
    <w:lvl w:ilvl="0">
      <w:lvlJc w:val="left"/>
      <w:lvlText w:val="%1."/>
      <w:numFmt w:val="decimal"/>
      <w:start w:val="5"/>
    </w:lvl>
  </w:abstractNum>
  <w:abstractNum w:abstractNumId="274">
    <w:nsid w:val="6CE00443"/>
    <w:multiLevelType w:val="hybridMultilevel"/>
    <w:lvl w:ilvl="0">
      <w:lvlJc w:val="left"/>
      <w:lvlText w:val="%1."/>
      <w:numFmt w:val="decimal"/>
      <w:start w:val="6"/>
    </w:lvl>
  </w:abstractNum>
  <w:abstractNum w:abstractNumId="275">
    <w:nsid w:val="79F0D62F"/>
    <w:multiLevelType w:val="hybridMultilevel"/>
    <w:lvl w:ilvl="0">
      <w:lvlJc w:val="left"/>
      <w:lvlText w:val="%1."/>
      <w:numFmt w:val="decimal"/>
      <w:start w:val="7"/>
    </w:lvl>
  </w:abstractNum>
  <w:abstractNum w:abstractNumId="276">
    <w:nsid w:val="7975E8EE"/>
    <w:multiLevelType w:val="hybridMultilevel"/>
    <w:lvl w:ilvl="0">
      <w:lvlJc w:val="left"/>
      <w:lvlText w:val="(%1)"/>
      <w:numFmt w:val="decimal"/>
      <w:start w:val="5"/>
    </w:lvl>
  </w:abstractNum>
  <w:abstractNum w:abstractNumId="277">
    <w:nsid w:val="73154115"/>
    <w:multiLevelType w:val="hybridMultilevel"/>
    <w:lvl w:ilvl="0">
      <w:lvlJc w:val="left"/>
      <w:lvlText w:val="%1."/>
      <w:numFmt w:val="decimal"/>
      <w:start w:val="8"/>
    </w:lvl>
  </w:abstractNum>
  <w:abstractNum w:abstractNumId="278">
    <w:nsid w:val="622D8102"/>
    <w:multiLevelType w:val="hybridMultilevel"/>
    <w:lvl w:ilvl="0">
      <w:lvlJc w:val="left"/>
      <w:lvlText w:val="%1."/>
      <w:numFmt w:val="decimal"/>
      <w:start w:val="9"/>
    </w:lvl>
  </w:abstractNum>
  <w:abstractNum w:abstractNumId="279">
    <w:nsid w:val="2AB26587"/>
    <w:multiLevelType w:val="hybridMultilevel"/>
    <w:lvl w:ilvl="0">
      <w:lvlJc w:val="left"/>
      <w:lvlText w:val="%1."/>
      <w:numFmt w:val="decimal"/>
      <w:start w:val="10"/>
    </w:lvl>
  </w:abstractNum>
  <w:abstractNum w:abstractNumId="280">
    <w:nsid w:val="44B3FA61"/>
    <w:multiLevelType w:val="hybridMultilevel"/>
    <w:lvl w:ilvl="0">
      <w:lvlJc w:val="left"/>
      <w:lvlText w:val="%1."/>
      <w:numFmt w:val="decimal"/>
      <w:start w:val="11"/>
    </w:lvl>
  </w:abstractNum>
  <w:abstractNum w:abstractNumId="281">
    <w:nsid w:val="1C0CA67C"/>
    <w:multiLevelType w:val="hybridMultilevel"/>
    <w:lvl w:ilvl="0">
      <w:lvlJc w:val="left"/>
      <w:lvlText w:val="%1."/>
      <w:numFmt w:val="decimal"/>
      <w:start w:val="12"/>
    </w:lvl>
  </w:abstractNum>
  <w:abstractNum w:abstractNumId="282">
    <w:nsid w:val="3D206613"/>
    <w:multiLevelType w:val="hybridMultilevel"/>
    <w:lvl w:ilvl="0">
      <w:lvlJc w:val="left"/>
      <w:lvlText w:val="(%1)"/>
      <w:numFmt w:val="lowerRoman"/>
      <w:start w:val="1"/>
    </w:lvl>
  </w:abstractNum>
  <w:abstractNum w:abstractNumId="283">
    <w:nsid w:val="7993B662"/>
    <w:multiLevelType w:val="hybridMultilevel"/>
    <w:lvl w:ilvl="0">
      <w:lvlJc w:val="left"/>
      <w:lvlText w:val="(%1)"/>
      <w:numFmt w:val="lowerRoman"/>
      <w:start w:val="1"/>
    </w:lvl>
  </w:abstractNum>
  <w:abstractNum w:abstractNumId="284">
    <w:nsid w:val="3BAB699E"/>
    <w:multiLevelType w:val="hybridMultilevel"/>
    <w:lvl w:ilvl="0">
      <w:lvlJc w:val="left"/>
      <w:lvlText w:val="%1."/>
      <w:numFmt w:val="decimal"/>
      <w:start w:val="13"/>
    </w:lvl>
    <w:lvl w:ilvl="1">
      <w:lvlJc w:val="left"/>
      <w:lvlText w:val="(%2)"/>
      <w:numFmt w:val="lowerLetter"/>
      <w:start w:val="1"/>
    </w:lvl>
  </w:abstractNum>
  <w:abstractNum w:abstractNumId="285">
    <w:nsid w:val="71315369"/>
    <w:multiLevelType w:val="hybridMultilevel"/>
    <w:lvl w:ilvl="0">
      <w:lvlJc w:val="left"/>
      <w:lvlText w:val="(%1)"/>
      <w:numFmt w:val="lowerLetter"/>
      <w:start w:val="3"/>
    </w:lvl>
  </w:abstractNum>
  <w:abstractNum w:abstractNumId="286">
    <w:nsid w:val="7BCFBAFC"/>
    <w:multiLevelType w:val="hybridMultilevel"/>
    <w:lvl w:ilvl="0">
      <w:lvlJc w:val="left"/>
      <w:lvlText w:val="%1."/>
      <w:numFmt w:val="decimal"/>
      <w:start w:val="14"/>
    </w:lvl>
  </w:abstractNum>
  <w:abstractNum w:abstractNumId="287">
    <w:nsid w:val="17859F72"/>
    <w:multiLevelType w:val="hybridMultilevel"/>
    <w:lvl w:ilvl="0">
      <w:lvlJc w:val="left"/>
      <w:lvlText w:val="%1."/>
      <w:numFmt w:val="decimal"/>
      <w:start w:val="15"/>
    </w:lvl>
  </w:abstractNum>
  <w:abstractNum w:abstractNumId="288">
    <w:nsid w:val="3AA10581"/>
    <w:multiLevelType w:val="hybridMultilevel"/>
    <w:lvl w:ilvl="0">
      <w:lvlJc w:val="left"/>
      <w:lvlText w:val="%1."/>
      <w:numFmt w:val="decimal"/>
      <w:start w:val="16"/>
    </w:lvl>
    <w:lvl w:ilvl="1">
      <w:lvlJc w:val="left"/>
      <w:lvlText w:val="(%2)"/>
      <w:numFmt w:val="lowerLetter"/>
      <w:start w:val="1"/>
    </w:lvl>
  </w:abstractNum>
  <w:abstractNum w:abstractNumId="289">
    <w:nsid w:val="63DE60CD"/>
    <w:multiLevelType w:val="hybridMultilevel"/>
    <w:lvl w:ilvl="0">
      <w:lvlJc w:val="left"/>
      <w:lvlText w:val="(%1)"/>
      <w:numFmt w:val="lowerLetter"/>
      <w:start w:val="2"/>
    </w:lvl>
  </w:abstractNum>
  <w:abstractNum w:abstractNumId="290">
    <w:nsid w:val="621AF471"/>
    <w:multiLevelType w:val="hybridMultilevel"/>
    <w:lvl w:ilvl="0">
      <w:lvlJc w:val="left"/>
      <w:lvlText w:val="%1"/>
      <w:numFmt w:val="decimal"/>
      <w:start w:val="1"/>
    </w:lvl>
    <w:lvl w:ilvl="1">
      <w:lvlJc w:val="left"/>
      <w:lvlText w:val="(%2)"/>
      <w:numFmt w:val="lowerLetter"/>
      <w:start w:val="4"/>
    </w:lvl>
  </w:abstractNum>
  <w:abstractNum w:abstractNumId="291">
    <w:nsid w:val="73CFE165"/>
    <w:multiLevelType w:val="hybridMultilevel"/>
    <w:lvl w:ilvl="0">
      <w:lvlJc w:val="left"/>
      <w:lvlText w:val="%1."/>
      <w:numFmt w:val="decimal"/>
      <w:start w:val="17"/>
    </w:lvl>
    <w:lvl w:ilvl="1">
      <w:lvlJc w:val="left"/>
      <w:lvlText w:val="(%2)"/>
      <w:numFmt w:val="lowerLetter"/>
      <w:start w:val="1"/>
    </w:lvl>
  </w:abstractNum>
  <w:abstractNum w:abstractNumId="292">
    <w:nsid w:val="20F88EA6"/>
    <w:multiLevelType w:val="hybridMultilevel"/>
    <w:lvl w:ilvl="0">
      <w:lvlJc w:val="left"/>
      <w:lvlText w:val="(%1)"/>
      <w:numFmt w:val="lowerLetter"/>
      <w:start w:val="2"/>
    </w:lvl>
  </w:abstractNum>
  <w:abstractNum w:abstractNumId="293">
    <w:nsid w:val="617C843E"/>
    <w:multiLevelType w:val="hybridMultilevel"/>
    <w:lvl w:ilvl="0">
      <w:lvlJc w:val="left"/>
      <w:lvlText w:val="%1"/>
      <w:numFmt w:val="decimal"/>
      <w:start w:val="1"/>
    </w:lvl>
    <w:lvl w:ilvl="1">
      <w:lvlJc w:val="left"/>
      <w:lvlText w:val="(%2)"/>
      <w:numFmt w:val="lowerLetter"/>
      <w:start w:val="5"/>
    </w:lvl>
  </w:abstractNum>
  <w:abstractNum w:abstractNumId="294">
    <w:nsid w:val="7B541FAB"/>
    <w:multiLevelType w:val="hybridMultilevel"/>
    <w:lvl w:ilvl="0">
      <w:lvlJc w:val="left"/>
      <w:lvlText w:val="%1."/>
      <w:numFmt w:val="decimal"/>
      <w:start w:val="18"/>
    </w:lvl>
    <w:lvl w:ilvl="1">
      <w:lvlJc w:val="left"/>
      <w:lvlText w:val="%2"/>
      <w:numFmt w:val="lowerLetter"/>
      <w:start w:val="1"/>
    </w:lvl>
  </w:abstractNum>
  <w:abstractNum w:abstractNumId="295">
    <w:nsid w:val="2A79EC49"/>
    <w:multiLevelType w:val="hybridMultilevel"/>
    <w:lvl w:ilvl="0">
      <w:lvlJc w:val="left"/>
      <w:lvlText w:val="(%1)"/>
      <w:numFmt w:val="lowerRoman"/>
      <w:start w:val="1"/>
    </w:lvl>
  </w:abstractNum>
  <w:abstractNum w:abstractNumId="296">
    <w:nsid w:val="338125CF"/>
    <w:multiLevelType w:val="hybridMultilevel"/>
    <w:lvl w:ilvl="0">
      <w:lvlJc w:val="left"/>
      <w:lvlText w:val="%1."/>
      <w:numFmt w:val="decimal"/>
      <w:start w:val="19"/>
    </w:lvl>
  </w:abstractNum>
  <w:abstractNum w:abstractNumId="297">
    <w:nsid w:val="47C7C971"/>
    <w:multiLevelType w:val="hybridMultilevel"/>
    <w:lvl w:ilvl="0">
      <w:lvlJc w:val="left"/>
      <w:lvlText w:val="%1."/>
      <w:numFmt w:val="decimal"/>
      <w:start w:val="20"/>
    </w:lvl>
  </w:abstractNum>
  <w:abstractNum w:abstractNumId="298">
    <w:nsid w:val="46F8284B"/>
    <w:multiLevelType w:val="hybridMultilevel"/>
    <w:lvl w:ilvl="0">
      <w:lvlJc w:val="left"/>
      <w:lvlText w:val="%1."/>
      <w:numFmt w:val="decimal"/>
      <w:start w:val="21"/>
    </w:lvl>
    <w:lvl w:ilvl="1">
      <w:lvlJc w:val="left"/>
      <w:lvlText w:val="(%2)"/>
      <w:numFmt w:val="lowerLetter"/>
      <w:start w:val="1"/>
    </w:lvl>
  </w:abstractNum>
  <w:abstractNum w:abstractNumId="299">
    <w:nsid w:val="4FA327CE"/>
    <w:multiLevelType w:val="hybridMultilevel"/>
    <w:lvl w:ilvl="0">
      <w:lvlJc w:val="left"/>
      <w:lvlText w:val="(%1)"/>
      <w:numFmt w:val="lowerLetter"/>
      <w:start w:val="2"/>
    </w:lvl>
  </w:abstractNum>
  <w:abstractNum w:abstractNumId="300">
    <w:nsid w:val="1873983A"/>
    <w:multiLevelType w:val="hybridMultilevel"/>
    <w:lvl w:ilvl="0">
      <w:lvlJc w:val="left"/>
      <w:lvlText w:val="%1."/>
      <w:numFmt w:val="decimal"/>
      <w:start w:val="22"/>
    </w:lvl>
    <w:lvl w:ilvl="1">
      <w:lvlJc w:val="left"/>
      <w:lvlText w:val="(%2)"/>
      <w:numFmt w:val="lowerLetter"/>
      <w:start w:val="1"/>
    </w:lvl>
  </w:abstractNum>
  <w:abstractNum w:abstractNumId="301">
    <w:nsid w:val="3D2DD275"/>
    <w:multiLevelType w:val="hybridMultilevel"/>
    <w:lvl w:ilvl="0">
      <w:lvlJc w:val="left"/>
      <w:lvlText w:val="%1."/>
      <w:numFmt w:val="decimal"/>
      <w:start w:val="24"/>
    </w:lvl>
  </w:abstractNum>
  <w:abstractNum w:abstractNumId="302">
    <w:nsid w:val="2E17ECA7"/>
    <w:multiLevelType w:val="hybridMultilevel"/>
    <w:lvl w:ilvl="0">
      <w:lvlJc w:val="left"/>
      <w:lvlText w:val="%1."/>
      <w:numFmt w:val="decimal"/>
      <w:start w:val="1"/>
    </w:lvl>
  </w:abstractNum>
  <w:abstractNum w:abstractNumId="303">
    <w:nsid w:val="53B2564F"/>
    <w:multiLevelType w:val="hybridMultilevel"/>
    <w:lvl w:ilvl="0">
      <w:lvlJc w:val="left"/>
      <w:lvlText w:val="%1."/>
      <w:numFmt w:val="decimal"/>
      <w:start w:val="15"/>
    </w:lvl>
  </w:abstractNum>
  <w:abstractNum w:abstractNumId="304">
    <w:nsid w:val="75509D76"/>
    <w:multiLevelType w:val="hybridMultilevel"/>
    <w:lvl w:ilvl="0">
      <w:lvlJc w:val="left"/>
      <w:lvlText w:val="%1."/>
      <w:numFmt w:val="upperLetter"/>
      <w:start w:val="1"/>
    </w:lvl>
  </w:abstractNum>
  <w:abstractNum w:abstractNumId="305">
    <w:nsid w:val="1AF7F0EA"/>
    <w:multiLevelType w:val="hybridMultilevel"/>
    <w:lvl w:ilvl="0">
      <w:lvlJc w:val="left"/>
      <w:lvlText w:val="%1."/>
      <w:numFmt w:val="decimal"/>
      <w:start w:val="1"/>
    </w:lvl>
  </w:abstractNum>
  <w:abstractNum w:abstractNumId="306">
    <w:nsid w:val="4DA32C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76" Type="http://schemas.openxmlformats.org/officeDocument/2006/relationships/image" Target="media/image353.png"/><Relationship Id="rId383" Type="http://schemas.openxmlformats.org/officeDocument/2006/relationships/image" Target="media/image354.png"/><Relationship Id="rId389" Type="http://schemas.openxmlformats.org/officeDocument/2006/relationships/image" Target="media/image355.png"/><Relationship Id="rId399" Type="http://schemas.openxmlformats.org/officeDocument/2006/relationships/image" Target="media/image356.png"/><Relationship Id="rId404" Type="http://schemas.openxmlformats.org/officeDocument/2006/relationships/image" Target="media/image357.png"/><Relationship Id="rId405" Type="http://schemas.openxmlformats.org/officeDocument/2006/relationships/image" Target="media/image358.png"/><Relationship Id="rId406" Type="http://schemas.openxmlformats.org/officeDocument/2006/relationships/image" Target="media/image359.png"/><Relationship Id="rId407" Type="http://schemas.openxmlformats.org/officeDocument/2006/relationships/image" Target="media/image360.png"/><Relationship Id="rId408" Type="http://schemas.openxmlformats.org/officeDocument/2006/relationships/image" Target="media/image361.png"/><Relationship Id="rId409" Type="http://schemas.openxmlformats.org/officeDocument/2006/relationships/image" Target="media/image362.png"/><Relationship Id="rId410" Type="http://schemas.openxmlformats.org/officeDocument/2006/relationships/image" Target="media/image363.png"/><Relationship Id="rId411" Type="http://schemas.openxmlformats.org/officeDocument/2006/relationships/image" Target="media/image364.png"/><Relationship Id="rId412" Type="http://schemas.openxmlformats.org/officeDocument/2006/relationships/image" Target="media/image365.png"/><Relationship Id="rId413" Type="http://schemas.openxmlformats.org/officeDocument/2006/relationships/image" Target="media/image366.png"/><Relationship Id="rId414" Type="http://schemas.openxmlformats.org/officeDocument/2006/relationships/image" Target="media/image367.png"/><Relationship Id="rId415" Type="http://schemas.openxmlformats.org/officeDocument/2006/relationships/image" Target="media/image368.png"/><Relationship Id="rId416" Type="http://schemas.openxmlformats.org/officeDocument/2006/relationships/image" Target="media/image369.png"/><Relationship Id="rId417" Type="http://schemas.openxmlformats.org/officeDocument/2006/relationships/image" Target="media/image370.png"/><Relationship Id="rId418" Type="http://schemas.openxmlformats.org/officeDocument/2006/relationships/image" Target="media/image371.png"/><Relationship Id="rId419" Type="http://schemas.openxmlformats.org/officeDocument/2006/relationships/image" Target="media/image372.png"/><Relationship Id="rId420" Type="http://schemas.openxmlformats.org/officeDocument/2006/relationships/image" Target="media/image373.png"/><Relationship Id="rId421" Type="http://schemas.openxmlformats.org/officeDocument/2006/relationships/image" Target="media/image374.png"/><Relationship Id="rId422" Type="http://schemas.openxmlformats.org/officeDocument/2006/relationships/image" Target="media/image375.png"/><Relationship Id="rId423" Type="http://schemas.openxmlformats.org/officeDocument/2006/relationships/image" Target="media/image376.png"/><Relationship Id="rId424" Type="http://schemas.openxmlformats.org/officeDocument/2006/relationships/image" Target="media/image377.png"/><Relationship Id="rId425" Type="http://schemas.openxmlformats.org/officeDocument/2006/relationships/image" Target="media/image378.png"/><Relationship Id="rId426" Type="http://schemas.openxmlformats.org/officeDocument/2006/relationships/image" Target="media/image379.png"/><Relationship Id="rId427" Type="http://schemas.openxmlformats.org/officeDocument/2006/relationships/image" Target="media/image380.png"/><Relationship Id="rId428" Type="http://schemas.openxmlformats.org/officeDocument/2006/relationships/image" Target="media/image381.png"/><Relationship Id="rId429" Type="http://schemas.openxmlformats.org/officeDocument/2006/relationships/image" Target="media/image382.png"/><Relationship Id="rId430" Type="http://schemas.openxmlformats.org/officeDocument/2006/relationships/image" Target="media/image383.png"/><Relationship Id="rId431" Type="http://schemas.openxmlformats.org/officeDocument/2006/relationships/image" Target="media/image384.png"/><Relationship Id="rId432" Type="http://schemas.openxmlformats.org/officeDocument/2006/relationships/image" Target="media/image385.png"/><Relationship Id="rId433" Type="http://schemas.openxmlformats.org/officeDocument/2006/relationships/image" Target="media/image386.png"/><Relationship Id="rId434" Type="http://schemas.openxmlformats.org/officeDocument/2006/relationships/image" Target="media/image387.png"/><Relationship Id="rId435" Type="http://schemas.openxmlformats.org/officeDocument/2006/relationships/image" Target="media/image388.png"/><Relationship Id="rId436" Type="http://schemas.openxmlformats.org/officeDocument/2006/relationships/image" Target="media/image389.png"/><Relationship Id="rId437" Type="http://schemas.openxmlformats.org/officeDocument/2006/relationships/image" Target="media/image390.png"/><Relationship Id="rId438" Type="http://schemas.openxmlformats.org/officeDocument/2006/relationships/image" Target="media/image391.png"/><Relationship Id="rId439" Type="http://schemas.openxmlformats.org/officeDocument/2006/relationships/image" Target="media/image392.png"/><Relationship Id="rId440" Type="http://schemas.openxmlformats.org/officeDocument/2006/relationships/image" Target="media/image393.png"/><Relationship Id="rId441" Type="http://schemas.openxmlformats.org/officeDocument/2006/relationships/image" Target="media/image394.png"/><Relationship Id="rId442" Type="http://schemas.openxmlformats.org/officeDocument/2006/relationships/image" Target="media/image395.png"/><Relationship Id="rId443" Type="http://schemas.openxmlformats.org/officeDocument/2006/relationships/image" Target="media/image396.png"/><Relationship Id="rId444" Type="http://schemas.openxmlformats.org/officeDocument/2006/relationships/image" Target="media/image397.png"/><Relationship Id="rId445" Type="http://schemas.openxmlformats.org/officeDocument/2006/relationships/image" Target="media/image398.png"/><Relationship Id="rId446" Type="http://schemas.openxmlformats.org/officeDocument/2006/relationships/image" Target="media/image399.png"/><Relationship Id="rId447" Type="http://schemas.openxmlformats.org/officeDocument/2006/relationships/image" Target="media/image400.png"/><Relationship Id="rId448" Type="http://schemas.openxmlformats.org/officeDocument/2006/relationships/image" Target="media/image401.png"/><Relationship Id="rId449" Type="http://schemas.openxmlformats.org/officeDocument/2006/relationships/image" Target="media/image402.png"/><Relationship Id="rId450" Type="http://schemas.openxmlformats.org/officeDocument/2006/relationships/image" Target="media/image403.png"/><Relationship Id="rId451" Type="http://schemas.openxmlformats.org/officeDocument/2006/relationships/image" Target="media/image404.png"/><Relationship Id="rId452" Type="http://schemas.openxmlformats.org/officeDocument/2006/relationships/image" Target="media/image405.png"/><Relationship Id="rId453" Type="http://schemas.openxmlformats.org/officeDocument/2006/relationships/image" Target="media/image406.png"/><Relationship Id="rId454" Type="http://schemas.openxmlformats.org/officeDocument/2006/relationships/image" Target="media/image407.png"/><Relationship Id="rId455" Type="http://schemas.openxmlformats.org/officeDocument/2006/relationships/image" Target="media/image408.png"/><Relationship Id="rId456" Type="http://schemas.openxmlformats.org/officeDocument/2006/relationships/image" Target="media/image409.png"/><Relationship Id="rId457" Type="http://schemas.openxmlformats.org/officeDocument/2006/relationships/image" Target="media/image410.png"/><Relationship Id="rId458" Type="http://schemas.openxmlformats.org/officeDocument/2006/relationships/image" Target="media/image411.png"/><Relationship Id="rId459" Type="http://schemas.openxmlformats.org/officeDocument/2006/relationships/image" Target="media/image412.png"/><Relationship Id="rId460" Type="http://schemas.openxmlformats.org/officeDocument/2006/relationships/image" Target="media/image413.png"/><Relationship Id="rId461" Type="http://schemas.openxmlformats.org/officeDocument/2006/relationships/image" Target="media/image414.png"/><Relationship Id="rId462" Type="http://schemas.openxmlformats.org/officeDocument/2006/relationships/image" Target="media/image415.png"/><Relationship Id="rId463" Type="http://schemas.openxmlformats.org/officeDocument/2006/relationships/image" Target="media/image416.png"/><Relationship Id="rId464" Type="http://schemas.openxmlformats.org/officeDocument/2006/relationships/image" Target="media/image417.png"/><Relationship Id="rId465" Type="http://schemas.openxmlformats.org/officeDocument/2006/relationships/image" Target="media/image418.png"/><Relationship Id="rId466" Type="http://schemas.openxmlformats.org/officeDocument/2006/relationships/image" Target="media/image419.png"/><Relationship Id="rId467" Type="http://schemas.openxmlformats.org/officeDocument/2006/relationships/image" Target="media/image420.png"/><Relationship Id="rId468" Type="http://schemas.openxmlformats.org/officeDocument/2006/relationships/image" Target="media/image421.png"/><Relationship Id="rId469" Type="http://schemas.openxmlformats.org/officeDocument/2006/relationships/image" Target="media/image422.png"/><Relationship Id="rId470" Type="http://schemas.openxmlformats.org/officeDocument/2006/relationships/image" Target="media/image423.png"/><Relationship Id="rId471" Type="http://schemas.openxmlformats.org/officeDocument/2006/relationships/image" Target="media/image424.png"/><Relationship Id="rId472" Type="http://schemas.openxmlformats.org/officeDocument/2006/relationships/image" Target="media/image425.png"/><Relationship Id="rId473" Type="http://schemas.openxmlformats.org/officeDocument/2006/relationships/image" Target="media/image426.png"/><Relationship Id="rId474" Type="http://schemas.openxmlformats.org/officeDocument/2006/relationships/image" Target="media/image427.png"/><Relationship Id="rId475" Type="http://schemas.openxmlformats.org/officeDocument/2006/relationships/image" Target="media/image428.png"/><Relationship Id="rId476" Type="http://schemas.openxmlformats.org/officeDocument/2006/relationships/image" Target="media/image429.png"/><Relationship Id="rId477" Type="http://schemas.openxmlformats.org/officeDocument/2006/relationships/image" Target="media/image430.png"/><Relationship Id="rId478" Type="http://schemas.openxmlformats.org/officeDocument/2006/relationships/image" Target="media/image431.png"/><Relationship Id="rId479" Type="http://schemas.openxmlformats.org/officeDocument/2006/relationships/image" Target="media/image432.png"/><Relationship Id="rId480" Type="http://schemas.openxmlformats.org/officeDocument/2006/relationships/image" Target="media/image433.png"/><Relationship Id="rId481" Type="http://schemas.openxmlformats.org/officeDocument/2006/relationships/image" Target="media/image434.png"/><Relationship Id="rId482" Type="http://schemas.openxmlformats.org/officeDocument/2006/relationships/image" Target="media/image435.png"/><Relationship Id="rId483" Type="http://schemas.openxmlformats.org/officeDocument/2006/relationships/image" Target="media/image436.png"/><Relationship Id="rId484" Type="http://schemas.openxmlformats.org/officeDocument/2006/relationships/image" Target="media/image437.png"/><Relationship Id="rId485" Type="http://schemas.openxmlformats.org/officeDocument/2006/relationships/image" Target="media/image438.png"/><Relationship Id="rId486" Type="http://schemas.openxmlformats.org/officeDocument/2006/relationships/image" Target="media/image439.png"/><Relationship Id="rId487" Type="http://schemas.openxmlformats.org/officeDocument/2006/relationships/image" Target="media/image440.png"/><Relationship Id="rId488" Type="http://schemas.openxmlformats.org/officeDocument/2006/relationships/image" Target="media/image441.png"/><Relationship Id="rId489" Type="http://schemas.openxmlformats.org/officeDocument/2006/relationships/image" Target="media/image442.png"/><Relationship Id="rId490" Type="http://schemas.openxmlformats.org/officeDocument/2006/relationships/image" Target="media/image443.png"/><Relationship Id="rId491" Type="http://schemas.openxmlformats.org/officeDocument/2006/relationships/image" Target="media/image444.png"/><Relationship Id="rId492" Type="http://schemas.openxmlformats.org/officeDocument/2006/relationships/image" Target="media/image445.png"/><Relationship Id="rId493" Type="http://schemas.openxmlformats.org/officeDocument/2006/relationships/image" Target="media/image446.png"/><Relationship Id="rId494" Type="http://schemas.openxmlformats.org/officeDocument/2006/relationships/image" Target="media/image447.png"/><Relationship Id="rId495" Type="http://schemas.openxmlformats.org/officeDocument/2006/relationships/image" Target="media/image448.png"/><Relationship Id="rId496" Type="http://schemas.openxmlformats.org/officeDocument/2006/relationships/image" Target="media/image449.png"/><Relationship Id="rId497" Type="http://schemas.openxmlformats.org/officeDocument/2006/relationships/image" Target="media/image450.png"/><Relationship Id="rId498" Type="http://schemas.openxmlformats.org/officeDocument/2006/relationships/image" Target="media/image451.png"/><Relationship Id="rId499" Type="http://schemas.openxmlformats.org/officeDocument/2006/relationships/image" Target="media/image452.png"/><Relationship Id="rId500" Type="http://schemas.openxmlformats.org/officeDocument/2006/relationships/image" Target="media/image453.png"/><Relationship Id="rId501" Type="http://schemas.openxmlformats.org/officeDocument/2006/relationships/image" Target="media/image454.png"/><Relationship Id="rId502" Type="http://schemas.openxmlformats.org/officeDocument/2006/relationships/image" Target="media/image455.png"/><Relationship Id="rId503" Type="http://schemas.openxmlformats.org/officeDocument/2006/relationships/image" Target="media/image456.png"/><Relationship Id="rId504" Type="http://schemas.openxmlformats.org/officeDocument/2006/relationships/image" Target="media/image457.png"/><Relationship Id="rId505" Type="http://schemas.openxmlformats.org/officeDocument/2006/relationships/image" Target="media/image458.png"/><Relationship Id="rId506" Type="http://schemas.openxmlformats.org/officeDocument/2006/relationships/image" Target="media/image459.png"/><Relationship Id="rId507" Type="http://schemas.openxmlformats.org/officeDocument/2006/relationships/image" Target="media/image460.png"/><Relationship Id="rId508" Type="http://schemas.openxmlformats.org/officeDocument/2006/relationships/image" Target="media/image461.png"/><Relationship Id="rId509" Type="http://schemas.openxmlformats.org/officeDocument/2006/relationships/image" Target="media/image462.png"/><Relationship Id="rId510" Type="http://schemas.openxmlformats.org/officeDocument/2006/relationships/image" Target="media/image463.png"/><Relationship Id="rId511" Type="http://schemas.openxmlformats.org/officeDocument/2006/relationships/image" Target="media/image464.png"/><Relationship Id="rId512" Type="http://schemas.openxmlformats.org/officeDocument/2006/relationships/image" Target="media/image465.png"/><Relationship Id="rId513" Type="http://schemas.openxmlformats.org/officeDocument/2006/relationships/image" Target="media/image466.png"/><Relationship Id="rId514" Type="http://schemas.openxmlformats.org/officeDocument/2006/relationships/image" Target="media/image467.png"/><Relationship Id="rId515" Type="http://schemas.openxmlformats.org/officeDocument/2006/relationships/image" Target="media/image468.png"/><Relationship Id="rId516" Type="http://schemas.openxmlformats.org/officeDocument/2006/relationships/image" Target="media/image469.png"/><Relationship Id="rId517" Type="http://schemas.openxmlformats.org/officeDocument/2006/relationships/image" Target="media/image470.png"/><Relationship Id="rId518" Type="http://schemas.openxmlformats.org/officeDocument/2006/relationships/image" Target="media/image471.png"/><Relationship Id="rId519" Type="http://schemas.openxmlformats.org/officeDocument/2006/relationships/image" Target="media/image472.png"/><Relationship Id="rId520" Type="http://schemas.openxmlformats.org/officeDocument/2006/relationships/image" Target="media/image473.png"/><Relationship Id="rId521" Type="http://schemas.openxmlformats.org/officeDocument/2006/relationships/image" Target="media/image474.png"/><Relationship Id="rId522" Type="http://schemas.openxmlformats.org/officeDocument/2006/relationships/image" Target="media/image475.png"/><Relationship Id="rId523" Type="http://schemas.openxmlformats.org/officeDocument/2006/relationships/image" Target="media/image476.png"/><Relationship Id="rId524" Type="http://schemas.openxmlformats.org/officeDocument/2006/relationships/image" Target="media/image477.png"/><Relationship Id="rId525" Type="http://schemas.openxmlformats.org/officeDocument/2006/relationships/image" Target="media/image478.png"/><Relationship Id="rId526" Type="http://schemas.openxmlformats.org/officeDocument/2006/relationships/image" Target="media/image479.png"/><Relationship Id="rId527" Type="http://schemas.openxmlformats.org/officeDocument/2006/relationships/image" Target="media/image480.png"/><Relationship Id="rId528" Type="http://schemas.openxmlformats.org/officeDocument/2006/relationships/image" Target="media/image481.png"/><Relationship Id="rId529" Type="http://schemas.openxmlformats.org/officeDocument/2006/relationships/image" Target="media/image482.png"/><Relationship Id="rId530" Type="http://schemas.openxmlformats.org/officeDocument/2006/relationships/image" Target="media/image483.png"/><Relationship Id="rId531" Type="http://schemas.openxmlformats.org/officeDocument/2006/relationships/image" Target="media/image484.png"/><Relationship Id="rId532" Type="http://schemas.openxmlformats.org/officeDocument/2006/relationships/image" Target="media/image485.png"/><Relationship Id="rId533" Type="http://schemas.openxmlformats.org/officeDocument/2006/relationships/image" Target="media/image486.png"/><Relationship Id="rId534" Type="http://schemas.openxmlformats.org/officeDocument/2006/relationships/image" Target="media/image487.png"/><Relationship Id="rId535" Type="http://schemas.openxmlformats.org/officeDocument/2006/relationships/image" Target="media/image488.png"/><Relationship Id="rId536" Type="http://schemas.openxmlformats.org/officeDocument/2006/relationships/image" Target="media/image489.png"/><Relationship Id="rId537" Type="http://schemas.openxmlformats.org/officeDocument/2006/relationships/image" Target="media/image490.png"/><Relationship Id="rId538" Type="http://schemas.openxmlformats.org/officeDocument/2006/relationships/image" Target="media/image491.png"/><Relationship Id="rId539" Type="http://schemas.openxmlformats.org/officeDocument/2006/relationships/image" Target="media/image492.png"/><Relationship Id="rId540" Type="http://schemas.openxmlformats.org/officeDocument/2006/relationships/image" Target="media/image493.png"/><Relationship Id="rId541" Type="http://schemas.openxmlformats.org/officeDocument/2006/relationships/image" Target="media/image494.png"/><Relationship Id="rId542" Type="http://schemas.openxmlformats.org/officeDocument/2006/relationships/image" Target="media/image495.png"/><Relationship Id="rId543" Type="http://schemas.openxmlformats.org/officeDocument/2006/relationships/image" Target="media/image496.png"/><Relationship Id="rId544" Type="http://schemas.openxmlformats.org/officeDocument/2006/relationships/image" Target="media/image497.png"/><Relationship Id="rId545" Type="http://schemas.openxmlformats.org/officeDocument/2006/relationships/image" Target="media/image498.png"/><Relationship Id="rId546" Type="http://schemas.openxmlformats.org/officeDocument/2006/relationships/image" Target="media/image499.png"/><Relationship Id="rId547" Type="http://schemas.openxmlformats.org/officeDocument/2006/relationships/image" Target="media/image500.png"/><Relationship Id="rId548" Type="http://schemas.openxmlformats.org/officeDocument/2006/relationships/image" Target="media/image501.jpeg"/><Relationship Id="rId549" Type="http://schemas.openxmlformats.org/officeDocument/2006/relationships/image" Target="media/image502.png"/><Relationship Id="rId550" Type="http://schemas.openxmlformats.org/officeDocument/2006/relationships/image" Target="media/image503.png"/><Relationship Id="rId551" Type="http://schemas.openxmlformats.org/officeDocument/2006/relationships/image" Target="media/image504.png"/><Relationship Id="rId552" Type="http://schemas.openxmlformats.org/officeDocument/2006/relationships/image" Target="media/image505.png"/><Relationship Id="rId553" Type="http://schemas.openxmlformats.org/officeDocument/2006/relationships/image" Target="media/image506.png"/><Relationship Id="rId554" Type="http://schemas.openxmlformats.org/officeDocument/2006/relationships/image" Target="media/image507.png"/><Relationship Id="rId555" Type="http://schemas.openxmlformats.org/officeDocument/2006/relationships/image" Target="media/image508.png"/><Relationship Id="rId556" Type="http://schemas.openxmlformats.org/officeDocument/2006/relationships/image" Target="media/image509.png"/><Relationship Id="rId557" Type="http://schemas.openxmlformats.org/officeDocument/2006/relationships/image" Target="media/image510.png"/><Relationship Id="rId558" Type="http://schemas.openxmlformats.org/officeDocument/2006/relationships/image" Target="media/image511.png"/><Relationship Id="rId559" Type="http://schemas.openxmlformats.org/officeDocument/2006/relationships/image" Target="media/image512.png"/><Relationship Id="rId560" Type="http://schemas.openxmlformats.org/officeDocument/2006/relationships/image" Target="media/image513.png"/><Relationship Id="rId561" Type="http://schemas.openxmlformats.org/officeDocument/2006/relationships/image" Target="media/image514.png"/><Relationship Id="rId562" Type="http://schemas.openxmlformats.org/officeDocument/2006/relationships/image" Target="media/image515.png"/><Relationship Id="rId563" Type="http://schemas.openxmlformats.org/officeDocument/2006/relationships/image" Target="media/image516.png"/><Relationship Id="rId564" Type="http://schemas.openxmlformats.org/officeDocument/2006/relationships/image" Target="media/image517.png"/><Relationship Id="rId565" Type="http://schemas.openxmlformats.org/officeDocument/2006/relationships/image" Target="media/image518.png"/><Relationship Id="rId566" Type="http://schemas.openxmlformats.org/officeDocument/2006/relationships/image" Target="media/image519.png"/><Relationship Id="rId567" Type="http://schemas.openxmlformats.org/officeDocument/2006/relationships/image" Target="media/image520.png"/><Relationship Id="rId568" Type="http://schemas.openxmlformats.org/officeDocument/2006/relationships/image" Target="media/image521.png"/><Relationship Id="rId569" Type="http://schemas.openxmlformats.org/officeDocument/2006/relationships/image" Target="media/image522.png"/><Relationship Id="rId570" Type="http://schemas.openxmlformats.org/officeDocument/2006/relationships/image" Target="media/image523.png"/><Relationship Id="rId571" Type="http://schemas.openxmlformats.org/officeDocument/2006/relationships/image" Target="media/image524.png"/><Relationship Id="rId572" Type="http://schemas.openxmlformats.org/officeDocument/2006/relationships/image" Target="media/image525.png"/><Relationship Id="rId573" Type="http://schemas.openxmlformats.org/officeDocument/2006/relationships/image" Target="media/image526.png"/><Relationship Id="rId574" Type="http://schemas.openxmlformats.org/officeDocument/2006/relationships/image" Target="media/image527.png"/><Relationship Id="rId575" Type="http://schemas.openxmlformats.org/officeDocument/2006/relationships/image" Target="media/image528.png"/><Relationship Id="rId576" Type="http://schemas.openxmlformats.org/officeDocument/2006/relationships/image" Target="media/image529.png"/><Relationship Id="rId577" Type="http://schemas.openxmlformats.org/officeDocument/2006/relationships/image" Target="media/image530.png"/><Relationship Id="rId578" Type="http://schemas.openxmlformats.org/officeDocument/2006/relationships/image" Target="media/image531.png"/><Relationship Id="rId579" Type="http://schemas.openxmlformats.org/officeDocument/2006/relationships/image" Target="media/image532.png"/><Relationship Id="rId580" Type="http://schemas.openxmlformats.org/officeDocument/2006/relationships/image" Target="media/image533.png"/><Relationship Id="rId581" Type="http://schemas.openxmlformats.org/officeDocument/2006/relationships/image" Target="media/image534.png"/><Relationship Id="rId582" Type="http://schemas.openxmlformats.org/officeDocument/2006/relationships/image" Target="media/image535.png"/><Relationship Id="rId583" Type="http://schemas.openxmlformats.org/officeDocument/2006/relationships/image" Target="media/image536.png"/><Relationship Id="rId584" Type="http://schemas.openxmlformats.org/officeDocument/2006/relationships/image" Target="media/image537.png"/><Relationship Id="rId585" Type="http://schemas.openxmlformats.org/officeDocument/2006/relationships/image" Target="media/image538.png"/><Relationship Id="rId586" Type="http://schemas.openxmlformats.org/officeDocument/2006/relationships/image" Target="media/image539.png"/><Relationship Id="rId587" Type="http://schemas.openxmlformats.org/officeDocument/2006/relationships/image" Target="media/image540.png"/><Relationship Id="rId588" Type="http://schemas.openxmlformats.org/officeDocument/2006/relationships/image" Target="media/image541.png"/><Relationship Id="rId589" Type="http://schemas.openxmlformats.org/officeDocument/2006/relationships/image" Target="media/image542.png"/><Relationship Id="rId590" Type="http://schemas.openxmlformats.org/officeDocument/2006/relationships/image" Target="media/image543.png"/><Relationship Id="rId591" Type="http://schemas.openxmlformats.org/officeDocument/2006/relationships/image" Target="media/image544.png"/><Relationship Id="rId592" Type="http://schemas.openxmlformats.org/officeDocument/2006/relationships/image" Target="media/image545.png"/><Relationship Id="rId593" Type="http://schemas.openxmlformats.org/officeDocument/2006/relationships/image" Target="media/image546.png"/><Relationship Id="rId594" Type="http://schemas.openxmlformats.org/officeDocument/2006/relationships/image" Target="media/image547.png"/><Relationship Id="rId595" Type="http://schemas.openxmlformats.org/officeDocument/2006/relationships/image" Target="media/image548.png"/><Relationship Id="rId596" Type="http://schemas.openxmlformats.org/officeDocument/2006/relationships/image" Target="media/image549.png"/><Relationship Id="rId597" Type="http://schemas.openxmlformats.org/officeDocument/2006/relationships/image" Target="media/image550.png"/><Relationship Id="rId598" Type="http://schemas.openxmlformats.org/officeDocument/2006/relationships/image" Target="media/image551.png"/><Relationship Id="rId599" Type="http://schemas.openxmlformats.org/officeDocument/2006/relationships/image" Target="media/image552.png"/><Relationship Id="rId600" Type="http://schemas.openxmlformats.org/officeDocument/2006/relationships/image" Target="media/image553.png"/><Relationship Id="rId601" Type="http://schemas.openxmlformats.org/officeDocument/2006/relationships/image" Target="media/image554.png"/><Relationship Id="rId602" Type="http://schemas.openxmlformats.org/officeDocument/2006/relationships/image" Target="media/image555.png"/><Relationship Id="rId603" Type="http://schemas.openxmlformats.org/officeDocument/2006/relationships/image" Target="media/image556.png"/><Relationship Id="rId604" Type="http://schemas.openxmlformats.org/officeDocument/2006/relationships/image" Target="media/image557.png"/><Relationship Id="rId605" Type="http://schemas.openxmlformats.org/officeDocument/2006/relationships/image" Target="media/image558.png"/><Relationship Id="rId360" Type="http://schemas.openxmlformats.org/officeDocument/2006/relationships/hyperlink" Target="http://www.sec.gov/Archives/edgar/data/0001795589/000119312520110080/d805184dex31.htm" TargetMode="External"/><Relationship Id="rId361" Type="http://schemas.openxmlformats.org/officeDocument/2006/relationships/hyperlink" Target="http://www.sec.gov/Archives/edgar/data/0001795589/000119312520110080/d805184dex32.htm" TargetMode="External"/><Relationship Id="rId362" Type="http://schemas.openxmlformats.org/officeDocument/2006/relationships/hyperlink" Target="http://www.sec.gov/Archives/edgar/data/0001795589/000119312520110080/d805184dex42.htm" TargetMode="External"/><Relationship Id="rId363" Type="http://schemas.openxmlformats.org/officeDocument/2006/relationships/hyperlink" Target="http://www.sec.gov/Archives/edgar/data/0001795589/000119312520110080/d805184dex51.htm" TargetMode="External"/><Relationship Id="rId364" Type="http://schemas.openxmlformats.org/officeDocument/2006/relationships/hyperlink" Target="http://www.sec.gov/Archives/edgar/data/0001795589/000119312520110080/d805184dex81.htm" TargetMode="External"/><Relationship Id="rId365" Type="http://schemas.openxmlformats.org/officeDocument/2006/relationships/hyperlink" Target="http://www.sec.gov/Archives/edgar/data/0001795589/000119312520110080/d805184dex992.htm" TargetMode="External"/><Relationship Id="rId366" Type="http://schemas.openxmlformats.org/officeDocument/2006/relationships/hyperlink" Target="http://www.sec.gov/Archives/edgar/data/0001795589/000119312520110080/d805184dex101.htm" TargetMode="External"/><Relationship Id="rId367" Type="http://schemas.openxmlformats.org/officeDocument/2006/relationships/hyperlink" Target="http://www.sec.gov/Archives/edgar/data/0001795589/000119312520110080/d805184dex102.htm" TargetMode="External"/><Relationship Id="rId368" Type="http://schemas.openxmlformats.org/officeDocument/2006/relationships/hyperlink" Target="http://www.sec.gov/Archives/edgar/data/0001795589/000119312520110080/d805184dex103.htm" TargetMode="External"/><Relationship Id="rId369" Type="http://schemas.openxmlformats.org/officeDocument/2006/relationships/hyperlink" Target="http://www.sec.gov/Archives/edgar/data/0001795589/000119312520110080/d805184dex104.htm" TargetMode="External"/><Relationship Id="rId370" Type="http://schemas.openxmlformats.org/officeDocument/2006/relationships/hyperlink" Target="http://www.sec.gov/Archives/edgar/data/0001795589/000119312520110080/d805184dex105.htm" TargetMode="External"/><Relationship Id="rId371" Type="http://schemas.openxmlformats.org/officeDocument/2006/relationships/hyperlink" Target="http://www.sec.gov/Archives/edgar/data/0001795589/000119312520110080/d805184dex106.htm" TargetMode="External"/><Relationship Id="rId372" Type="http://schemas.openxmlformats.org/officeDocument/2006/relationships/hyperlink" Target="http://www.sec.gov/Archives/edgar/data/0001795589/000119312520110080/d805184dex107.htm" TargetMode="External"/><Relationship Id="rId373" Type="http://schemas.openxmlformats.org/officeDocument/2006/relationships/hyperlink" Target="http://www.sec.gov/Archives/edgar/data/0001795589/000119312520110080/d805184dex108.htm" TargetMode="External"/><Relationship Id="rId374" Type="http://schemas.openxmlformats.org/officeDocument/2006/relationships/hyperlink" Target="http://www.sec.gov/Archives/edgar/data/0001795589/000119312520110080/d805184dex109.htm" TargetMode="External"/><Relationship Id="rId375" Type="http://schemas.openxmlformats.org/officeDocument/2006/relationships/hyperlink" Target="http://www.sec.gov/Archives/edgar/data/0001795589/000119312520110080/d805184dex1010.htm" TargetMode="External"/><Relationship Id="rId377" Type="http://schemas.openxmlformats.org/officeDocument/2006/relationships/hyperlink" Target="http://www.sec.gov/Archives/edgar/data/0001795589/000119312520110080/d805184dex1011.htm" TargetMode="External"/><Relationship Id="rId378" Type="http://schemas.openxmlformats.org/officeDocument/2006/relationships/hyperlink" Target="http://www.sec.gov/Archives/edgar/data/0001795589/000119312520110080/d805184dex1012.htm" TargetMode="External"/><Relationship Id="rId379" Type="http://schemas.openxmlformats.org/officeDocument/2006/relationships/hyperlink" Target="http://www.sec.gov/Archives/edgar/data/0001795589/000119312520110080/d805184dex1013.htm" TargetMode="External"/><Relationship Id="rId380" Type="http://schemas.openxmlformats.org/officeDocument/2006/relationships/hyperlink" Target="http://www.sec.gov/Archives/edgar/data/0001795589/000119312520110080/d805184dex1014.htm" TargetMode="External"/><Relationship Id="rId381" Type="http://schemas.openxmlformats.org/officeDocument/2006/relationships/hyperlink" Target="http://www.sec.gov/Archives/edgar/data/0001795589/000119312520110080/d805184dex1015.htm" TargetMode="External"/><Relationship Id="rId382" Type="http://schemas.openxmlformats.org/officeDocument/2006/relationships/hyperlink" Target="http://www.sec.gov/Archives/edgar/data/0001795589/000119312520110080/d805184dex1016.htm" TargetMode="External"/><Relationship Id="rId384" Type="http://schemas.openxmlformats.org/officeDocument/2006/relationships/hyperlink" Target="http://www.sec.gov/Archives/edgar/data/0001795589/000119312520110080/d805184dex1017.htm" TargetMode="External"/><Relationship Id="rId385" Type="http://schemas.openxmlformats.org/officeDocument/2006/relationships/hyperlink" Target="http://www.sec.gov/Archives/edgar/data/0001795589/000119312520110080/d805184dex1018.htm" TargetMode="External"/><Relationship Id="rId386" Type="http://schemas.openxmlformats.org/officeDocument/2006/relationships/hyperlink" Target="http://www.sec.gov/Archives/edgar/data/0001795589/000119312520110080/d805184dex1019.htm" TargetMode="External"/><Relationship Id="rId387" Type="http://schemas.openxmlformats.org/officeDocument/2006/relationships/hyperlink" Target="http://www.sec.gov/Archives/edgar/data/0001795589/000119312520110080/d805184dex1020.htm" TargetMode="External"/><Relationship Id="rId388" Type="http://schemas.openxmlformats.org/officeDocument/2006/relationships/hyperlink" Target="http://www.sec.gov/Archives/edgar/data/0001795589/000119312520110080/d805184dex1021.htm" TargetMode="External"/><Relationship Id="rId390" Type="http://schemas.openxmlformats.org/officeDocument/2006/relationships/hyperlink" Target="http://www.sec.gov/Archives/edgar/data/0001795589/000119312520110080/d805184dex1022.htm" TargetMode="External"/><Relationship Id="rId391" Type="http://schemas.openxmlformats.org/officeDocument/2006/relationships/hyperlink" Target="http://www.sec.gov/Archives/edgar/data/0001795589/000119312520110080/d805184dex1023.htm" TargetMode="External"/><Relationship Id="rId392" Type="http://schemas.openxmlformats.org/officeDocument/2006/relationships/hyperlink" Target="http://www.sec.gov/Archives/edgar/data/0001795589/000119312520110080/d805184dex1024.htm" TargetMode="External"/><Relationship Id="rId393" Type="http://schemas.openxmlformats.org/officeDocument/2006/relationships/hyperlink" Target="http://www.sec.gov/Archives/edgar/data/0001795589/000119312520110080/d805184dex1025.htm" TargetMode="External"/><Relationship Id="rId394" Type="http://schemas.openxmlformats.org/officeDocument/2006/relationships/hyperlink" Target="http://www.sec.gov/Archives/edgar/data/0001795589/000119312520110080/d805184dex1026.htm" TargetMode="External"/><Relationship Id="rId395" Type="http://schemas.openxmlformats.org/officeDocument/2006/relationships/hyperlink" Target="http://www.sec.gov/Archives/edgar/data/0001795589/000119312520110080/d805184dex1027.htm" TargetMode="External"/><Relationship Id="rId396" Type="http://schemas.openxmlformats.org/officeDocument/2006/relationships/hyperlink" Target="http://www.sec.gov/Archives/edgar/data/0001795589/000119312520110080/d805184dex211.htm" TargetMode="External"/><Relationship Id="rId397" Type="http://schemas.openxmlformats.org/officeDocument/2006/relationships/hyperlink" Target="http://www.sec.gov/Archives/edgar/data/0001795589/000119312520110080/d805184dex83.htm" TargetMode="External"/><Relationship Id="rId398" Type="http://schemas.openxmlformats.org/officeDocument/2006/relationships/hyperlink" Target="http://www.sec.gov/Archives/edgar/data/0001795589/000119312520110080/d805184df1.htm#fin805184_35" TargetMode="External"/><Relationship Id="rId400" Type="http://schemas.openxmlformats.org/officeDocument/2006/relationships/hyperlink" Target="http://www.sec.gov/Archives/edgar/data/0001795589/000119312520110080/d805184dex991.htm" TargetMode="External"/><Relationship Id="rId401" Type="http://schemas.openxmlformats.org/officeDocument/2006/relationships/hyperlink" Target="http://www.sec.gov/Archives/edgar/data/0001795589/000119312520110080/d805184dex993.htm" TargetMode="External"/><Relationship Id="rId402" Type="http://schemas.openxmlformats.org/officeDocument/2006/relationships/hyperlink" Target="http://www.sec.gov/Archives/edgar/data/0001795589/000119312520110080/d805184dex994.htm" TargetMode="External"/><Relationship Id="rId403" Type="http://schemas.openxmlformats.org/officeDocument/2006/relationships/hyperlink" Target="http://www.sec.gov/Archives/edgar/data/0001795589/000119312520110080/d805184d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2020-05-04T06:13:36Z</dcterms:created>
  <dcterms:modified xsi:type="dcterms:W3CDTF">2020-05-04T06:13:36Z</dcterms:modified>
</cp:coreProperties>
</file>